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ārvalstu komandējumu izmaksas finansējuma saņēmēja projekta vadītājam un īstenošanas personālam un projekta vadības un īstenošanas personāla iekšzemes komandējumu un darba braucienu izmaksas atbilstoši normatīvajiem aktiem par kārtību, kādā atlīdzināmi ar komandējumu saistītie izdevumi, ja tās ir pamatotas un saistītas ar projekta īstenošanu. Iekšzemes komandējumu izmaksas tiek segtas atbilstoši Finanšu ministrijas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ārvalstu komandējumu nepieciešamību projekta īstenošanas kontekstā, kur saskaņā ar anotāciju ir paredzētas lokālās mācības.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svītrot MK noteikumu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20.5.5. ēdināšanas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piedāvātās pozīcijas atbilstību mērķa sasniegšanai un ekonomiskai lietderībai.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svītrot MK noteikumu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20.5.6. informācijas un komunikācijas tehnoloģiju iespēju izmantošanas veicināšanas komunikācijas kampaņu organizēšanas un īstenošanas izmaksas šo noteikumu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plānoto izmaksu ekonomisko pamatotību un nepieciešamību pasākuma mērķa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svītrot MK noteikumu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īstenotas vismaz piecas integrētās komunikāciju kampaņas – tai skaitā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finansējumu – vismaz četras kampaņas.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minēto nacionālo rādītāju vai detalizēti pamatot tā jēgpilnu sasaisti ar projekta mērķa grupas vajadzībām un programmas ietvaros īstenojamo mācību darbību sasaisti ar šādiem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mācību programmu izstrāde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kāda veida programmas (formālās / neformālās) plānots izstrādāt un kā plānots izmantot jau šobrīd pieejamo programmu piedāvājumu.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monitoringa veikšana;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detalizētu informāciju par monitoringa procesu, datiem un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mācību vajadzību apzināšana un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 saistīta ar darba tirgus dalībnieku prasmju un kompetenču izvērtēšanu, aicinām mācību vajadzību izvērtēšanu, t.sk., iespējamo demarkāciju, nodrošināt Ekonomikas ministrijas Apvienotajā komisijā, kas nodrošina integrētu pieeju cilvēkkapitāla attīstības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ekspertu pakalpojumi un veiktie izvērtējumi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 minēto atbalstāmo darbību plānošanai un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 skaidrojumu anotācijā par ekspertu pakalpojumu nepieciešamību projekta tiešo darbību īstenošanai un to ekonomisko pamatotību.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pamatotu, datos balstītu informāciju par investīcijas sasniedzamo rezultātu attiecībā uz sabiedrības ieguvumiem (nevis mācību dalībnieku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šī ietekme tiks mērīta un noteikta, lai izvērtētu projekta ieguldījuma atdevi mērķu sasniegšanā.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kādi KPI sasniedzami un kā konkrētie pasākumi saistāmi ar mērķa grupas sasniegšanu un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 piecas integrētās komunikācijas kampaņas, t.sk. reģionālajos medijos;</w:t>
            </w:r>
            <w:r w:rsidR="00000000" w:rsidRPr="00000000" w:rsidDel="00000000">
              <w:rPr>
                <w:i w:val="1"/>
                <w:rtl w:val="0"/>
              </w:rPr>
              <w:t xml:space="preserve">b) dalība sarunu festivālā LAMPA, Latvijas atvērto tehnoloģiju asociācijas kultūras datu hakatonā, forumā "5G Techritory", Digitālajā nedēļā u.c.;</w:t>
            </w:r>
            <w:r w:rsidR="00000000" w:rsidRPr="00000000" w:rsidDel="00000000">
              <w:rPr>
                <w:i w:val="1"/>
                <w:rtl w:val="0"/>
              </w:rPr>
              <w:t xml:space="preserve">c) klātienes un tiešsaistes pasākumi sadarbībā ar valsts un pašvaldību iestādēm, kā arī nevalstiskajām organizācijām;</w:t>
            </w:r>
            <w:r w:rsidR="00000000" w:rsidRPr="00000000" w:rsidDel="00000000">
              <w:rPr>
                <w:i w:val="1"/>
                <w:rtl w:val="0"/>
              </w:rPr>
              <w:t xml:space="preserve">d) regulāras komunikācijas veikšana sociālajos tīklos, nodrošinot mērķtiecīgu satura izvietošanu, kas ir būtisks elements digitālo prasmju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07.06.2024.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07.06.2024.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