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norādīts, ka administratīvā sloga samazinājuma apjomu nav iespējams aprēķināt, jo nav zināms, cik daudz komersantiem turpmāk nebūs jāsaņem pašvaldības atļauja ielu tirdzniecībai. Vienlaikus no anotācijas izriet, ka noteikumu projekta pamatmērķis ir administratīvā sloga mazināšana, atsakoties no pašvaldības atļaujas saņemšanas gadījumos, kad tirdzniecība notiek privātīpašumā. Ņemot vērā minēto, nav skaidrs, uz kāda faktoloģiskā pamata ir novērtēta identificētās problēmas aktualitāte, regulējuma ietekme un sagaidāmais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datiem vai pieņēmumiem, kas izmantoti ietekmes izvērtējumā, tostarp skaidrojot, kāpēc nav apkopota informācija par līdz šim izsniegto atļauju skaitu tirdzniecībai privātīpašumos vai veikts cits novērtējums, kas ļauj pamatot sagaidāmo administratīvā sloga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