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pieņem lēmumu par kritēriju piemērošanu komerciālajai zvejai piešķiramo zvejas limitu sadalei tās administratīvajai teritorijai piegulošajos Baltijas jūras un Rīgas līča piekrastes ūdeņos un tās administratīvajā teritorijā esošajos iekšējos ūdeņos, kā arī lēmumu par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paredzētais neatbilst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 Turklāt norādām, ka nav noteiktības par to, kā pašvaldības dome, kas ir koleģiāla institūcija, kuras darbs notiek domes sēdēs, veiks grozījumā paredzētās konsultācijas, kā arī nav noteiktības par normatīvo aktu, kurā pašvaldībai būtu jānosaka zvejas limitu sadales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nomnieku savstarpējā nozvejas apjoma limita apmaiņu vai nodošana otram nomniekam neattiecas uz rūpnieciskās zvejas  tiesību izmantošanas kārtību, proti, paredzētais pārsniedz šo Ministru kabineta noteikumu izdošanas tiesiskajā pamatojumā norādīto tiesību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kārtību un prasībām pašvaldības pārstāvim veikt pārbaudes, tostarp izlases veidā, lai pamatotu zivju limita maksas samazinājumu. Prasības attiecībā uz normā minētajām pārbaudēm ir nosakāma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pamatots apliecinājums, vai arī šāds fakts ir atbilstoši norādīts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 tikai iznomā rūpnieciskās zvejas tiesības. Pašvaldība pēc būtības nerisina jautājumus, kas skar nomnieka zvejas rīkus un peldošos līdzekļus, tostarp par tiem negādā. Vienlaikus norādām, ka pie vieniem un tiem pašiem apstākļiem pašvaldībām ir jārīkojas vienveidīgi un paredzami, tādējādi nav noteiktības par to, kāpēc minētā norma paredz pašvaldībai tiesības, kuras pašvaldība var arī neīstenot. Ievērojot minēto, lūdzam svītrot vai pārskatīt šo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2. jaunajiem zvejniekiem – fiziskām personām, kuras uz zvejas tiesību nomas iesnieguma iesniegšanas brīdi nav sasniegušas 40 gadu vecumu un kuru mērķis ir uzsākt saimniecisko darbību zvejniecībā kā komersanta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iekļaut noteiktā kritērija samērīguma izvērtējumu. Vienlaikus vēršam uzmanību, ka noteiktā ierobežojuma tiesiskums nav pamatojams tikai uz valsts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04.02.2026.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04.02.2026.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