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ar informāciju par Komisijas 2022. gada 14. decembra Regulā (ES) Nr. 2022/2472, ar kuru, piemērojot Līguma par Eiropas Savienības darbību 107. un 108. pantu, dažu kategoriju atbalstu lauksaimniecības un mežsaimniecības nozarē un lauku apvidos atzīst par saderīgu ar iekšējo tirgu (turpmāk - regula Nr. 2022/2472), ietverto prasību ieviešanu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Attīstības finanšu institūcijas likuma</w:t>
            </w:r>
            <w:r w:rsidR="00000000" w:rsidRPr="00000000" w:rsidDel="00000000">
              <w:rPr>
                <w:rtl w:val="0"/>
              </w:rPr>
              <w:t xml:space="preserve"> 12. panta ceturto daļu, </w:t>
            </w:r>
            <w:r w:rsidR="00000000" w:rsidRPr="00000000" w:rsidDel="00000000">
              <w:rPr>
                <w:rtl w:val="0"/>
              </w:rPr>
              <w:t xml:space="preserve">Pret Ukrainu vērstās Krievijas militārās agresijas dēļ piemēroto sankciju un pretpasākumu izraisīto ekonomisko seku pārvarēšanas atbalsta likuma</w:t>
            </w:r>
            <w:r w:rsidR="00000000" w:rsidRPr="00000000" w:rsidDel="00000000">
              <w:rPr>
                <w:rtl w:val="0"/>
              </w:rPr>
              <w:t xml:space="preserve"> 4. panta otro daļu un Inovatīvas uzņēmējdarbības un prioritāro projektu atbalsta likuma 4. panta otrās daļas 5. un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anotācijas 1.1. apakšsadaļā ietverto informāciju, no kuras izriet, ka noteikumu projekta (precizēto Ministru kabineta noteikumu) izdošanas pamats ir tostarp Inovatīvas uzņēmējdarbības un prioritāro projektu atbalsta likuma 4.panta otrā daļa, ne vien šīs daļas 5. un 6. punkts, atbilstoši precizējot arī citas noteikumu projekta normas (tostarp precizēto Ministru kabineta noteikumu 1. punktu). Alternatīvi, ja noteikumu projekts netiek precizēts, lūdzam noteikumu projekta anotācijā skaidrot, kā paredzēts izpildīt minēto likuma pilnvarojumu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 kapitālsabiedrībai – akciju sabiedrībai vai sabiedrībai ar ierobežotu atbildību (izņemot vidējo uzņēmumu, kas ir pastāvējis mazāk nekā trīs gadus) –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ņemot vērā arī kapitāldaļu uzcenojumu;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Skaidrojam, ka minētais pants satur tai skaitā aizliegumu pārrakstīt un interpretēt regulu normas dalībvalstu nacionālajos tiesību aktos. Vienlaikus Eiropas Savienības Tiesa ir atzinusi, ka, gadījumos, ja regula prasa tās piemērošanai nepieciešamu nacionālā tiesību akta pieņemšanu, izņēmuma gadījumos tomēr var tikt pieļauta regulu teksta daļu inkorporēšana nacionālajos tiesību aktos. Šāds gadījums var tikt pamatots vienīgi ar indivīdu interesēm saņemt tiem adresētu saskaņotu un labi uztveramu tiesību aktu, un regulu tiešā piemērojamība nepieļauj citus izņēmumu. Ievērojot minēto, lūdzam izvērtēt un nodrošināt, ka regulas prasības pēc iespējas netiek pārrakstītas noteikumu projekta 6. punktā u.c. vienībās, bet gadījumā, ja noteikumu projektā tiek veikta atsevišķu regulas tiesību normu inkorporēšana noteikumu projektā, lūdzam noteikumu projekta anotācijā sniegt tam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komersantam ar tiesas spriedumu ir pasludināts maksātnespējas process vai ar tiesas spriedumu tiek īstenots tiesiskās aizsardzības process, vai ar tiesas lēmumu tiek īstenots ārpustiesas tiesiskās aizsardzības process, vai ir uzsākta bankrota procedūra, piemērota sanācija vai mierizlīgums vai tā saimnieciskā darbība ir izbeigta, vai tas atbilst normatīvajos aktos noteiktajiem kritērijiem, lai tam pēc kreditora pieprasījuma piemērotu maksātnespējas procedūru. Šo nosacījumu pārbauda, pamatojoties uz atbalsta saņēmēja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atbilstoši spēkā esošajam Maksātnespējas likumam, tostarp svītrojot norādi uz sanāciju un mierizlīgumu.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piesakoties atbalstam II.</w:t>
            </w:r>
            <w:r w:rsidR="00000000" w:rsidRPr="00000000" w:rsidDel="00000000">
              <w:rPr>
                <w:vertAlign w:val="superscript"/>
                <w:rtl w:val="0"/>
              </w:rPr>
              <w:t xml:space="preserve">1</w:t>
            </w:r>
            <w:r w:rsidR="00000000" w:rsidRPr="00000000" w:rsidDel="00000000">
              <w:rPr>
                <w:rtl w:val="0"/>
              </w:rPr>
              <w:t xml:space="preserve"> nodaļas kārtībā, uz to, tai skaitā vērtējot saistīto uzņēmumu grupas līmenī, neattiecas neizpildīts līdzekļu atgūšanas rīkojums saskaņā ar iepriekšēju Eiropas Komisijas lēmumu, ar ko piešķirts atbalsts, kurš atzīts par nelikumīgu un nesaderīgu ar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ieviests regulas Nr. 2022/2472 1. panta 4. punkta "a" apakšpunkts, lūdzam nepārrakstīt minētās regulas prasību, bet tā vietā papildināt ar atsauci uz minēto regulas vienību. Līdzīgi lūdzam precizēt noteikumu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 piesakoties atbalstam II.</w:t>
            </w:r>
            <w:r w:rsidR="00000000" w:rsidRPr="00000000" w:rsidDel="00000000">
              <w:rPr>
                <w:vertAlign w:val="superscript"/>
                <w:rtl w:val="0"/>
              </w:rPr>
              <w:t xml:space="preserve">1</w:t>
            </w:r>
            <w:r w:rsidR="00000000" w:rsidRPr="00000000" w:rsidDel="00000000">
              <w:rPr>
                <w:rtl w:val="0"/>
              </w:rPr>
              <w:t xml:space="preserve"> nodaļas kārtībā, uz to, tai skaitā vērtējot saistīto uzņēmumu grupas līmenī, neattiecas neizpildīts līdzekļu atgūšanas rīkojums saskaņā ar Komisijas regulas Nr. 2022/2472 1. panta 4. punkta "a"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r w:rsidR="00000000" w:rsidRPr="00000000" w:rsidDel="00000000">
              <w:rPr>
                <w:vertAlign w:val="superscript"/>
                <w:rtl w:val="0"/>
              </w:rPr>
              <w:t xml:space="preserve">1</w:t>
            </w:r>
            <w:r w:rsidR="00000000" w:rsidRPr="00000000" w:rsidDel="00000000">
              <w:rPr>
                <w:rtl w:val="0"/>
              </w:rPr>
              <w:t xml:space="preserve">. Aizdevumu programmas nosacījumi atbalstam ar primāro lauksaimniecisko ražošanu saistītām investīcijām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19. punktu, nodrošinot, ka tajā netiek dublētas (skaidrotas) regulā Nr. 2022/2472, jo īpaši tā 14. pantā (sk. 3., 6., 7. un 9. punktu) ietvertās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 bioekonomikas stratēģijai atbilstoša vispārējā snieguma un ilgtspējas uzlabošana, kādu jo īpaši panāk, samazinot ražošanas izmaksas vai uzlabojot un pārkārtojot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svītrojot atsauci uz atbilstību bioekonomikas stratēģijai. Norādām, ka politikas plānošanas dokumenti Latvijā nav indivīdiem juridiski saistoši, tādēļ noteikumu projektā nedrīkst atsaukties un uzlikt par pienākumu indivīdam ievērot juridiski nesaistošus dokumentus. Līdzīgi lūdzam izvērtēt un precizēt noteikumu projekta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ja investīciju projekts ir saistīts ar primāro lauksaimniecības ražošanu – jaunu iekārtu un tehnoloģisko procesu ieviešana ražošanā, vai pakalpojumu sniegšanā šo noteikumu 19.2. apakšpunktā vai 27.</w:t>
            </w:r>
            <w:r w:rsidR="00000000" w:rsidRPr="00000000" w:rsidDel="00000000">
              <w:rPr>
                <w:vertAlign w:val="superscript"/>
                <w:rtl w:val="0"/>
              </w:rPr>
              <w:t xml:space="preserve">2</w:t>
            </w:r>
            <w:r w:rsidR="00000000" w:rsidRPr="00000000" w:rsidDel="00000000">
              <w:rPr>
                <w:rtl w:val="0"/>
              </w:rPr>
              <w:t xml:space="preserve"> punktā minētajā atbalstāmajā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27.</w:t>
            </w:r>
            <w:r w:rsidR="00000000" w:rsidRPr="00000000" w:rsidDel="00000000">
              <w:rPr>
                <w:vertAlign w:val="superscript"/>
                <w:rtl w:val="0"/>
              </w:rPr>
              <w:t xml:space="preserve">2</w:t>
            </w:r>
            <w:r w:rsidR="00000000" w:rsidRPr="00000000" w:rsidDel="00000000">
              <w:rPr>
                <w:rtl w:val="0"/>
              </w:rPr>
              <w:t xml:space="preserve"> punktā nav minētas atbalstāmās nozares, tādēļ lūdzam atbilstoši precizēt noteikumu projekta 5. punktu, nodrošinot korektu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 kapitālsabiedrībai – akciju sabiedrībai vai sabiedrībai ar ierobežotu atbildību (izņemot vidējo uzņēmumu, kas ir pastāvējis mazāk nekā trīs gadus) – uzkrāto zaudējumu dēļ ir zudusi vairāk nekā puse no tās parakstītā kapitāla, ja, uzkrātos zaudējumus atskaitot no rezervēm un visām pārējām pozīcijām, kuras vispārpieņemts uzskatīt par daļu no sabiedrības pašu kapitāla, rodas negatīvs rezultāts, kas pārsniedz pusi no parakstītā kapitāla, ņemot vērā arī kapitāldaļu uzcenojumu;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komersantam ar tiesas spriedumu ir pasludināts maksātnespējas process vai ar tiesas spriedumu tiek īstenots tiesiskās aizsardzības process, vai ar tiesas lēmumu tiek īstenots ārpustiesas tiesiskās aizsardzības process, vai ir uzsākta bankrota procedūra, piemērota sanācija vai mierizlīgums vai tā saimnieciskā darbība ir izbeigta, vai tas atbilst normatīvajos aktos noteiktajiem kritērijiem, lai tam pēc kreditora pieprasījuma piemērotu maksātnespējas procedūru. Šo nosacījumu pārbauda, pamatojoties uz atbalsta saņēmēja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konsekventu terminoloģiju attiecībā uz terminiem "atbalsta saņēmējs", "komersants" un "komersants" un "pieteicējs". Līdzīgi lūdzam konsekventu terminoloģiju nodrošināt arī attiecībā uz terminiem "finansēšanas pieteikums" un "atbalsta pieteikums", kā arī terminiem "atbalsta saņēmējs" un "aizdevuma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piesakoties atbalstam II.</w:t>
            </w:r>
            <w:r w:rsidR="00000000" w:rsidRPr="00000000" w:rsidDel="00000000">
              <w:rPr>
                <w:vertAlign w:val="superscript"/>
                <w:rtl w:val="0"/>
              </w:rPr>
              <w:t xml:space="preserve">1</w:t>
            </w:r>
            <w:r w:rsidR="00000000" w:rsidRPr="00000000" w:rsidDel="00000000">
              <w:rPr>
                <w:rtl w:val="0"/>
              </w:rPr>
              <w:t xml:space="preserve"> nodaļas kārtībā, uz to, tai skaitā vērtējot saistīto uzņēmumu grupas līmenī, neattiecas neizpildīts līdzekļu atgūšanas rīkojums saskaņā ar iepriekšēju Eiropas Komisijas lēmumu, ar ko piešķirts atbalsts, kurš atzīts par nelikumīgu un nesaderīgu ar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pēc vārda "atbalstam" papildināt ar vārdiem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11</w:t>
            </w:r>
            <w:r w:rsidR="00000000" w:rsidRPr="00000000" w:rsidDel="00000000">
              <w:rPr>
                <w:rtl w:val="0"/>
              </w:rPr>
              <w:t xml:space="preserve"> Uz finansējuma pieprasījuma izvērtējumu šīs programmas ietvaros var pretendēt investīciju projekti, ja pēc investīciju projekta pilnīgas pabeigšanas katra pēcuzraudzības gada beigās  tiek plānots izpildīt visus  šo noteikumu 21.3. apakšpunktā minētos kritērijus, kā arī jāievēro šo noteikumu 21.2, 21.3 un 21.5 punktā noteiktos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ietverto grozīto Ministru kabineta noteikumu 21.3. apakšpunktā ietverti rādītāji, nevis kritēriji, savukārt norāde uz 21.3. apakšpunkta nosacījumiem ir lieka, jo šobrīd jau izriet no norādes uz kritērijiem, tādēļ lūdzam atbilstoši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15</w:t>
            </w:r>
            <w:r w:rsidR="00000000" w:rsidRPr="00000000" w:rsidDel="00000000">
              <w:rPr>
                <w:rtl w:val="0"/>
              </w:rPr>
              <w:t xml:space="preserve">1. darbības, kas būtiski kaitē klimata pārmaiņu mazināšanai, ja minētās darbības rezultātā rodas ievērojamas siltumnīcefekta gāzu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kādas siltumnīcefekta gāzu emisijas varētu būt novērtējamas kā ievērojamas, nepieciešamības gadījumā atsaucoties uz konkrētiem normatīvajiem aktiem, kas to noteic.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r w:rsidR="00000000" w:rsidRPr="00000000" w:rsidDel="00000000">
              <w:rPr>
                <w:vertAlign w:val="superscript"/>
                <w:rtl w:val="0"/>
              </w:rPr>
              <w:t xml:space="preserve">1</w:t>
            </w:r>
            <w:r w:rsidR="00000000" w:rsidRPr="00000000" w:rsidDel="00000000">
              <w:rPr>
                <w:rtl w:val="0"/>
              </w:rPr>
              <w:t xml:space="preserve"> Zemkopības ministrijas atzinumu par komersanta investīciju projekta atbilstību šo noteikumu 5.8., 27.</w:t>
            </w:r>
            <w:r w:rsidR="00000000" w:rsidRPr="00000000" w:rsidDel="00000000">
              <w:rPr>
                <w:vertAlign w:val="superscript"/>
                <w:rtl w:val="0"/>
              </w:rPr>
              <w:t xml:space="preserve">2</w:t>
            </w:r>
            <w:r w:rsidR="00000000" w:rsidRPr="00000000" w:rsidDel="00000000">
              <w:rPr>
                <w:rtl w:val="0"/>
              </w:rPr>
              <w:t xml:space="preserve">, 27.</w:t>
            </w:r>
            <w:r w:rsidR="00000000" w:rsidRPr="00000000" w:rsidDel="00000000">
              <w:rPr>
                <w:vertAlign w:val="superscript"/>
                <w:rtl w:val="0"/>
              </w:rPr>
              <w:t xml:space="preserve">4</w:t>
            </w:r>
            <w:r w:rsidR="00000000" w:rsidRPr="00000000" w:rsidDel="00000000">
              <w:rPr>
                <w:rtl w:val="0"/>
              </w:rPr>
              <w:t xml:space="preserve"> punktam, 27.</w:t>
            </w:r>
            <w:r w:rsidR="00000000" w:rsidRPr="00000000" w:rsidDel="00000000">
              <w:rPr>
                <w:vertAlign w:val="superscript"/>
                <w:rtl w:val="0"/>
              </w:rPr>
              <w:t xml:space="preserve">5</w:t>
            </w:r>
            <w:r w:rsidR="00000000" w:rsidRPr="00000000" w:rsidDel="00000000">
              <w:rPr>
                <w:rtl w:val="0"/>
              </w:rPr>
              <w:t xml:space="preserve">4. apakšpunktam, 27.</w:t>
            </w:r>
            <w:r w:rsidR="00000000" w:rsidRPr="00000000" w:rsidDel="00000000">
              <w:rPr>
                <w:vertAlign w:val="superscript"/>
                <w:rtl w:val="0"/>
              </w:rPr>
              <w:t xml:space="preserve">6</w:t>
            </w:r>
            <w:r w:rsidR="00000000" w:rsidRPr="00000000" w:rsidDel="00000000">
              <w:rPr>
                <w:rtl w:val="0"/>
              </w:rPr>
              <w:t xml:space="preserve"> un 27.</w:t>
            </w:r>
            <w:r w:rsidR="00000000" w:rsidRPr="00000000" w:rsidDel="00000000">
              <w:rPr>
                <w:vertAlign w:val="superscript"/>
                <w:rtl w:val="0"/>
              </w:rPr>
              <w:t xml:space="preserve">15</w:t>
            </w:r>
            <w:r w:rsidR="00000000" w:rsidRPr="00000000" w:rsidDel="00000000">
              <w:rPr>
                <w:rtl w:val="0"/>
              </w:rPr>
              <w:t xml:space="preserve"> punktam, ja investīciju projekts saistīts ar primāro lauksaimniecisko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 uz šo noteikumu 5.8. apakšpunktu varētu būt nekorekta, jo pirmšķietami nav attiecināma uz Zemkopības ministrijas funkcijām, tādēļ lūdzam izvērtēt un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II.</w:t>
            </w:r>
            <w:r w:rsidR="00000000" w:rsidRPr="00000000" w:rsidDel="00000000">
              <w:rPr>
                <w:vertAlign w:val="superscript"/>
                <w:rtl w:val="0"/>
              </w:rPr>
              <w:t xml:space="preserve">1</w:t>
            </w:r>
            <w:r w:rsidR="00000000" w:rsidRPr="00000000" w:rsidDel="00000000">
              <w:rPr>
                <w:rtl w:val="0"/>
              </w:rPr>
              <w:t xml:space="preserve"> nodaļa, 5.1.</w:t>
            </w:r>
            <w:r w:rsidR="00000000" w:rsidRPr="00000000" w:rsidDel="00000000">
              <w:rPr>
                <w:vertAlign w:val="superscript"/>
                <w:rtl w:val="0"/>
              </w:rPr>
              <w:t xml:space="preserve">1</w:t>
            </w:r>
            <w:r w:rsidR="00000000" w:rsidRPr="00000000" w:rsidDel="00000000">
              <w:rPr>
                <w:rtl w:val="0"/>
              </w:rPr>
              <w:t xml:space="preserve">, 5.3.2., 5.6.</w:t>
            </w:r>
            <w:r w:rsidR="00000000" w:rsidRPr="00000000" w:rsidDel="00000000">
              <w:rPr>
                <w:vertAlign w:val="superscript"/>
                <w:rtl w:val="0"/>
              </w:rPr>
              <w:t xml:space="preserve">1</w:t>
            </w:r>
            <w:r w:rsidR="00000000" w:rsidRPr="00000000" w:rsidDel="00000000">
              <w:rPr>
                <w:rtl w:val="0"/>
              </w:rPr>
              <w:t xml:space="preserve">, 5.7.</w:t>
            </w:r>
            <w:r w:rsidR="00000000" w:rsidRPr="00000000" w:rsidDel="00000000">
              <w:rPr>
                <w:vertAlign w:val="superscript"/>
                <w:rtl w:val="0"/>
              </w:rPr>
              <w:t xml:space="preserve">1</w:t>
            </w:r>
            <w:r w:rsidR="00000000" w:rsidRPr="00000000" w:rsidDel="00000000">
              <w:rPr>
                <w:rtl w:val="0"/>
              </w:rPr>
              <w:t xml:space="preserve">, 29.2.</w:t>
            </w:r>
            <w:r w:rsidR="00000000" w:rsidRPr="00000000" w:rsidDel="00000000">
              <w:rPr>
                <w:vertAlign w:val="superscript"/>
                <w:rtl w:val="0"/>
              </w:rPr>
              <w:t xml:space="preserve">1</w:t>
            </w:r>
            <w:r w:rsidR="00000000" w:rsidRPr="00000000" w:rsidDel="00000000">
              <w:rPr>
                <w:rtl w:val="0"/>
              </w:rPr>
              <w:t xml:space="preserve">, 31.5.</w:t>
            </w:r>
            <w:r w:rsidR="00000000" w:rsidRPr="00000000" w:rsidDel="00000000">
              <w:rPr>
                <w:vertAlign w:val="superscript"/>
                <w:rtl w:val="0"/>
              </w:rPr>
              <w:t xml:space="preserve">1</w:t>
            </w:r>
            <w:r w:rsidR="00000000" w:rsidRPr="00000000" w:rsidDel="00000000">
              <w:rPr>
                <w:rtl w:val="0"/>
              </w:rPr>
              <w:t xml:space="preserve">, 31.8. apakšpunkts, 35. punkts un 37.5. apakšpunkts stājas spēkā nākamajā dienā pēc tam, kad oficiālajā izdevumā "Latvijas Vēstnesis" publicēts paziņojums par to, ka Eiropas Komisija pieņēmusi lēmumu par šajos noteikumos ietvertā atbalsta saderību ar Eiropas Savienības iekšējo tirgu. Ekonomikas ministrija pēc tam, kad Eiropas Komisija pieņēmusi lēmumu par komercdarbības atbalsta saderību ar Eiropas Savienības iekšējo tirgu, nosūta attiecīgu paziņojumu publicēšanai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vairāki no uzskaitītajiem punktiem jau ir stājušies spēkā, tādēļ lūdzam atbilstoši juridiskās tehnikas prasībām atsauces uz minētajiem punktiem aizstāt ar norādi, kas, piem., paredz, ka "grozījumi šo noteikumu (..) punktā, kas paredz (..) stājas spēkā(..)". Papildus lūdzam izvērtēt un papildināt minēto uzskaitījumu ar citām normām, kas ir saistītas ar attiecīgo atbalstu, piem., grozījumiem šo noteikumu 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attiecībā uz 4. un turpmākām atlases kārtām, kā alternatīvu uz šo noteikumu 19.2. apakšpunktā minētajām nozarēm norādīt uz primārās lauksaimnieciskās ražošanas nozari, atsaucoties uz šo noteikumu 27.</w:t>
            </w:r>
            <w:r w:rsidR="00000000" w:rsidRPr="00000000" w:rsidDel="00000000">
              <w:rPr>
                <w:vertAlign w:val="superscript"/>
                <w:rtl w:val="0"/>
              </w:rPr>
              <w:t xml:space="preserve">2</w:t>
            </w:r>
            <w:r w:rsidR="00000000" w:rsidRPr="00000000" w:rsidDel="00000000">
              <w:rPr>
                <w:rtl w:val="0"/>
              </w:rPr>
              <w:t xml:space="preserve"> punktā ietvertajiem mērķiem, tādējādi salāgojot ar šo noteikumu 21.3. apakšpunktā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11.03.2025.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11.03.2025.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Atzinumi_25-TA-31.docx</dc:title>
</cp:coreProperties>
</file>

<file path=docProps/custom.xml><?xml version="1.0" encoding="utf-8"?>
<Properties xmlns="http://schemas.openxmlformats.org/officeDocument/2006/custom-properties" xmlns:vt="http://schemas.openxmlformats.org/officeDocument/2006/docPropsVTypes"/>
</file>