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 Šā likuma 58.</w:t>
            </w:r>
            <w:r w:rsidR="00000000" w:rsidRPr="00000000" w:rsidDel="00000000">
              <w:rPr>
                <w:vertAlign w:val="superscript"/>
                <w:rtl w:val="0"/>
              </w:rPr>
              <w:t xml:space="preserve">11</w:t>
            </w:r>
            <w:r w:rsidR="00000000" w:rsidRPr="00000000" w:rsidDel="00000000">
              <w:rPr>
                <w:rtl w:val="0"/>
              </w:rPr>
              <w:t xml:space="preserve"> panta trīspadsmitā daļa ir piemērojama tām atbalsta programmām, kas ir apstiprinātas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Regulators līdz 2027. gada 31. decembrim izdod šā likuma 6. panta 3.</w:t>
            </w:r>
            <w:r w:rsidR="00000000" w:rsidRPr="00000000" w:rsidDel="00000000">
              <w:rPr>
                <w:vertAlign w:val="superscript"/>
                <w:rtl w:val="0"/>
              </w:rPr>
              <w:t xml:space="preserve">1</w:t>
            </w:r>
            <w:r w:rsidR="00000000" w:rsidRPr="00000000" w:rsidDel="00000000">
              <w:rPr>
                <w:rtl w:val="0"/>
              </w:rPr>
              <w:t xml:space="preserve"> daļā noteikto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2025. gada 31. decembrim izdod šā likuma 17.</w:t>
            </w:r>
            <w:r w:rsidR="00000000" w:rsidRPr="00000000" w:rsidDel="00000000">
              <w:rPr>
                <w:vertAlign w:val="superscript"/>
                <w:rtl w:val="0"/>
              </w:rPr>
              <w:t xml:space="preserve">1</w:t>
            </w:r>
            <w:r w:rsidR="00000000" w:rsidRPr="00000000" w:rsidDel="00000000">
              <w:rPr>
                <w:rtl w:val="0"/>
              </w:rPr>
              <w:t xml:space="preserve"> panta 8.</w:t>
            </w:r>
            <w:r w:rsidR="00000000" w:rsidRPr="00000000" w:rsidDel="00000000">
              <w:rPr>
                <w:vertAlign w:val="superscript"/>
                <w:rtl w:val="0"/>
              </w:rPr>
              <w:t xml:space="preserve">2</w:t>
            </w:r>
            <w:r w:rsidR="00000000" w:rsidRPr="00000000" w:rsidDel="00000000">
              <w:rPr>
                <w:rtl w:val="0"/>
              </w:rPr>
              <w:t xml:space="preserve">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3.februārī atkārtotai saskaņošanai pieteiktajā Likumprojektā ir ietverta jauna tiesību norma – Pārejas noteikumu 105.punkts, nosakot Regulatoram pienākumu līdz 2027.gada 31.decembrim izdot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ietver vispārīgu informāciju, ka Latvijā šobrīd vēl nav izveidotas centralizētas aukstumapgādes sistēmas, bet, nākotnē tādām veidojoties, būs nepieciešams regulējums. Tāpat Anotācijā minēts, ka būs nepieciešams veikt grozījumus Ministru kabineta 2009.gada 27.oktobra noteikumos Nr.1227 “Noteikumi par regulējamiem sabiedrisko pakalpojumu veidiem” (turpmāk – MK noteikumi Nr.1227), iekļaujot aukstumapgādi kā regulējamu sabiedrisko pakalpojumu veidu no noteikta piegādātās enerģijas sliekšņa. Tomēr Likumprojektā nav iekļauts termiņš, līdz kuram Ministru kabinetam ir pienākums pieņemt minētos grozījumus MK noteikumos Nr.1227. Regulators uzsver, ka sabiedrisko pakalpojumu tarifu aprēķināšanas metodikas izstrādes process ir savlaicīgi jāplāno un jāīsteno. Pamata procesi, kas veido sabiedrisko pakalpojumu tarifu aprēķināšanas metodikas izstrādes procesu, ir (a) metodikas projekta satura izstrāde (tajā skaitā tas ietver datu apkopošanu, izvērtēšanu un ekonomiski pamatotu pieeju konstatēšanu tarifu aprēķināšanas kārtības noteikšanai); (b) konsultēšanas process ar ieinteresētajām personām un tirgus dalībniekiem (process var veidot arī  atkārtotas konsultēšanas nepieciešamību); (c) metodikas pieņemšana un spēkā stāšanās. Vidēji kopējais sabiedrisko pakalpojumu tarifu aprēķināšanas metodikas izstrādes termiņš, turklāt jomā, kas ir jauna, tādējādi izejas dati par šī pakalpojuma specifikām nav plaši pieejami un praksē pārbaudīti, var aizņemt vismaz viena gada termiņu. Tādējādi Regulatoram ir nepieciešams savlaicīgi zināt kāds tieši aukstumapgādes pakalpojums būs noteikts MK noteikumos  Nr.1227 kā regulējams pakalpojums. Līdz ar to Anotācijā iekļautais skaidrojums, ka darbs pie MK noteikumu Nr.1227 grozījumu izstrādes tiks uzsākts savlaicīgi, ir nepietiekams iepretim Likumprojektā iekļautajam pienākumam Regulatoram konkrētā termiņā izstrādāt aukstumapgādes tarifu aprēķināšanas metodiku. Ņemot vērā minēto, Regulators lūdz vai nu izslēgt no Likumprojekta Regulatoram noteikto pienākumu konkrētā termiņā (līdz 2027.gada 31.decembrim) izstrādāt aukstumapgādes tarifu aprēķināšanas metodiku, vai iekļaut papildu normu, ka Ministru kabinetam grozījumi MK noteikumos Nr.1227 par regulējamo aukstumapgādes pakalpojumu jāizstrādā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