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attīstības pamatnostādņu 2021.-2027.gadam starpposma 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21.10.2024.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21.10.2024.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