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nelaimes gadījuma, pēc kura ir iestājies darbspēju zaudējums vai nāve, cēlonis ir amatpersonas atrašanās alkohola, narkotisko, toksisko, psihotropo vai citu atkarību izraisošu vielu vai to produktu ietekmē nelaimes gadījuma brīdī, un šo vielu izmantošana nebija saistīta ar dienesta pienākumu izpildi vai attiecīgo vielu neatbilstošu glabāšanu vai pārvietošanu;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22.1. apakšpunktā lietoto terminoloģiju, aizstājot vārdus “alkohola, narkotisko, toksisko, psihotropo vai citu atkarību izraisošu vielu” ar vārdiem “alkohola vai citu apreibinošo 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precizējums nepieciešams, lai nodrošinātu vienotu un savstarpēji salāgotu terminoloģiju ar Valsts un pašvaldību institūciju amatpersonu un darbinieku atlīdzības likuma 23. pantā lietoto formulējumu. Vienlaikus norādām, ka jēdziens “citas apreibinošās vielas” pēc būtības aptver arī narkotiskās, psihotropās un toksiskās vielas, līdz ar to šāds formulējums ir juridiski precīzāks.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22.4.</w:t>
            </w:r>
            <w:r w:rsidR="00000000" w:rsidRPr="00000000" w:rsidDel="00000000">
              <w:rPr>
                <w:rtl w:val="0"/>
              </w:rPr>
              <w:t xml:space="preserve"> apakšpunktā minētajā gadījumā, ja kriminālprocess pret amatpersonu pabeigts pierādījumu trūkuma dēļ vai noziedzīga nodarījuma sastāva trūkuma dēļ vai ja tiesa pasludinājusi attaisnojošu spriedumu, aktu noformē 15 dienu laikā pēc lēmuma pieņemšanas par kriminālprocesa pabeigšanu vai attaisnojoša sprieduma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un 23. punktā lietoto terminoloģiju attiecībā uz dokumenta veidu, jo pašreizējā redakcija rada neskaidrību par to, kādos gadījumos noformējams atzinums un kādos gadījumos —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ir norādīts, ka, iestājoties 22. apakšpunktos minētajiem apstākļiem, noformē atzinumu, savukārt projekta 23. punktā attiecībā uz 22.4. apakšpunktu ir paredzēta akta noformēšana. Vienlaikus turpmākajā projekta tekstā tiek lietots formulējums “atzinums vai akts”, nepaskaidrojot, kāds dokuments katrā konkrētajā gadījumā ir piemērojams. Papildus norādām, ka arī projekta anotācijā tiek lietots jēdziens “atzinums”, kas vēl vairāk pastiprina nepieciešamību salāgot projekta un anotācijas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normas, skaidri nosakot, kādos gadījumos noformējams atzinums, kādos — akts, kā arī nodrošināt konsekventu attiecīgo terminu lietojumu visā projekta tekstā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30.04.2026.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30.04.2026.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