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mēneša darba algas noteikšanas un pārskatīšanas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mēneša darba algas noteikšanas un pārskatīšanas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saskaņo TAP.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iepazīties ar Valmiera novada viedokli un sniegt atbildi.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Komentārs/priekšlikums: Noteikumi ir gana vispārīgi, tādēļ grūti komentēt pēc būtības – iespējams, ka nepieciešams Noteikumu projektā vai anotācijā ietvert aprēķina formulu/metodiku, lai varētu izsekot/saprast to, kā (un vai tas būs pamatoti) nonāks līdz minimālajai darba algai, jo šobrīd iekļautie rādītāji ir samērā deklaratīvi un nesaprotami/neviennozīmīgi mērāmi.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Komentārs/priekšlikums: vienīgais punkts, kas ir skaidrs no kritērijiem, ir par Labklājības ministrijas iespējamo aprēķināto minimālo mēneša darba algu 46% apmērā no Centrālās statistikas pārvaldes aprēķinātās vidējās bruto darba samaksas par pēdējo pieejamo ceturksni, bet nekur no anotācijas neizriet  skaidrojums, kadēļ izvēlēti tieši 46% (nevis, piemēram, 50% vai 65% utt.) – to būtu nepieciešams skaidrot un pamatot.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laika grafiks noteikumu projektā tika iestrādāts tā, lai lēmums par minimālās mēneša darba algas apmēru nākamajam gadam tiktu pieņemts jau 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līdzīgi kā ietverts Valsts un pašvaldību institūciju darbinieku un amatpersonu atlīdzības likuma (turpmāk – Atlīdzības likums) 4.panta 2.1 daļā par bāzes mēnešalgas apmēra noteikšanu[1], nepieciešams ietvert Noteikumu projektā punktu par to, ka konkrēta atbildīgā institūcija, piemēram, līdz kārtējā gada 1.jūnijam konkrētā vietnē publicē oficiālu informāciju par minimālās algas apmēru nākamajam gadam, ņemot vērā, ka tas ietekmē gan pārējo darbinieku atlīdzību (algu tabula, Atlīdzības likums, kas šobrīd jau īsti nedarbojas (1. – 4.mēnešalgas grupa minimālās algas izmaiņu dēļ), gan rada būtisku finansiālu ietekmi uz pašvaldību budžetiem, kā arī, lai precīzi iezīmētu termiņu un nebūtu diskusiju par to, kurā ir jāpieņem galīgais lēmums par minimālās algas apmēra saglabāšanu vai paaugstināšanu, lūdzam papildināt noteikumu projekta 6.punktu, nosakot, ka lēmums jāpieņem ne vēlāk kā līdz kārtēja gada 1.jūnijam.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ir būtiski savlaicīgi zināt minimālās mēneša darba algas apmēru nākamajam gadam, lai ņemtu to vērā, sagatavojot budžeta projektu nākamajam gadam, nevis kā tas ir bijis līdz šim – rudenī valsts bud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žeta projekta izskatīšanas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papildināt noteikumu projekta 6.punktu ar teikumu šādā redakcijā: "Lēmumu par minimālās mēneša darba algas apmēra saglabāšanu vai paaugstināšanu un attiecīgo izmaiņu ieviešanas datumu pieņem ne vēlāk kā līdz kārtēja gada 1.jūnijam.", jo kopsakarā vērtējot Noteikumu projekta 5.2.punktā noteikto un 6.punktā noteikto, neizriet, ka lēmuma pieņemšana būtu skaidri nofiksēta – maijā.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Labklājības ministrija divu nedēļu laikā pēc šo noteikumu 5. punktā minētā priekšlikuma izskatīšanas padomē iesniedz to Ministru kabinetā lēmuma pieņemšanai. Lēmumu par minimālās mēneša darba algas apmēra saglabāšanu vai paaugstināšanu un attiecīgo izmaiņu ieviešanas datumu pieņem ne vēlāk kā līdz kārtēja gada 1.jūnijam.".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norādāms, ka pārskatot Noteikumu projektu, neatbilst patiesībai norādītais, ka minimālās algas laika grafiks ir iestrādāts Noteikumu projektā, jo minētais ir iestrādāts Ministru kabineta 2024.gada 19.septembra ārkārtas sēdes protokollēmumā (prot. Nr. 38, 1. §), proti, tā 5.punkts nosaka, ka vidējā termiņā ir paredzēts šāds minimālās algas apmērs: 2026. gadā – 780 euro mēnesī, 2027. gadā – 820 euro mēnesī, 2028. gadā – 860 euro mēnesī. Proti, grafiks nav nostiprināts Noteikumu projektā, kā tam būtu jābūt, bet ir ietverts informatīvā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kā ir domāts Noteikumu 7.2.punkts – vai to saprot tādējādi, ka varētu būt arī izmaiņas Atlīdzības likuma 3.pielikumā esošajā tabulā?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vai ir izpētīta citu valstu pieredze minimālās algas noteikšanā līdz šim, jo īpaši ņemot vērā arī Igaunijas, Lietuvas pieredzi un krietni lielāku minimālo algu jau šobrīd, kā arī ņemot vērā laika grafiku līdz 2027.gadam – tas no anotācijas neizriet.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 nākamā gada bāzes mēnešalgas apmēru, finanšu un apdrošināšanas jomas bāzes mēnešalgas apmēru un elektronisko sakaru un enerģētikas nozares bāzes mēnešalgas apmēru publicē Valsts kancelejas tīmekļvietnē līdz kārtējā gada 1.maijam.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07.10.2024. 15.40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07.10.2024. 15.40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Atzinumi_24-TA-1.docx</dc:title>
</cp:coreProperties>
</file>

<file path=docProps/custom.xml><?xml version="1.0" encoding="utf-8"?>
<Properties xmlns="http://schemas.openxmlformats.org/officeDocument/2006/custom-properties" xmlns:vt="http://schemas.openxmlformats.org/officeDocument/2006/docPropsVTypes"/>
</file>