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"Cilvēkkapitāla attīstības stratēģija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4.2.2.3.pasākuma zemsvītras atsauci, ņemot vērā, ka ESF+ 4.2.4.2.pasākumam plānotais finansējums atbilstoši Ministru kabineta 07.05.2024. noteikumiem Nr.283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ir 34 623 466 euro (šobrīd plāna projektā norādīts 83 200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plāna projekta 4.2.1.2. darbības rezultātam “Profilēšanas sistēmu un prasmju novērtēšanas rīku izstrāde un pilnveidošana efektīvai pieaugušo iesaistei izglītības pasākumos, ņemot vērā dažādus faktorus (vecumu, izglītības/ ienākumu līmeni)” ar norādīto izpildes termiņu 2026.gada IV ceturksnis ailes “Finansējums” un “Atbildība/Līdzatbildība”.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Atzinumi_24-TA-273.docx</dc:title>
</cp:coreProperties>
</file>

<file path=docProps/custom.xml><?xml version="1.0" encoding="utf-8"?>
<Properties xmlns="http://schemas.openxmlformats.org/officeDocument/2006/custom-properties" xmlns:vt="http://schemas.openxmlformats.org/officeDocument/2006/docPropsVTypes"/>
</file>