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Filmu likuma</w:t>
            </w:r>
            <w:r w:rsidR="00000000" w:rsidRPr="00000000" w:rsidDel="00000000">
              <w:rPr>
                <w:rtl w:val="0"/>
              </w:rPr>
              <w:t xml:space="preserve"> 11. panta trešo daļu un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paredzēts izdot citastarp uz Inovatīvas uzņēmējdarbības un prioritāro projektu atbalsta likuma 4. panta otrās daļas pamata. Viens no minētā likuma centrālajiem jēdzieniem ir “prioritārs projekts”. Likuma 4. panta otrā daļa, kurā paredzēts pilnvarojums Ministru kabinetam citastarp noteikt komercdarbības atbalsta programmas īstenošanas nosacījumus un kārtību, ir sistēmiski saistīta ar likuma 4. panta pirmo daļu, tostarp prioritāra projekta jēdzienu. Likuma 4. panta pirmā daļa noteic, ka komercdarbības atbalsts Komercdarbības atbalsta kontroles likuma izpratnē tiek sniegts: 1) </w:t>
            </w:r>
            <w:r w:rsidR="00000000" w:rsidRPr="00000000" w:rsidDel="00000000">
              <w:rPr>
                <w:u w:val="single"/>
                <w:rtl w:val="0"/>
              </w:rPr>
              <w:t xml:space="preserve">prioritārajiem projektiem</w:t>
            </w:r>
            <w:r w:rsidR="00000000" w:rsidRPr="00000000" w:rsidDel="00000000">
              <w:rPr>
                <w:rtl w:val="0"/>
              </w:rPr>
              <w:t xml:space="preserve">, kas tiek īstenoti kādā no šā likuma 3. panta pirmajā daļā minētajām jomām; 2) uzņēmējdarbības veicināšanas </w:t>
            </w:r>
            <w:r w:rsidR="00000000" w:rsidRPr="00000000" w:rsidDel="00000000">
              <w:rPr>
                <w:u w:val="single"/>
                <w:rtl w:val="0"/>
              </w:rPr>
              <w:t xml:space="preserve">prioritāro projektu</w:t>
            </w:r>
            <w:r w:rsidR="00000000" w:rsidRPr="00000000" w:rsidDel="00000000">
              <w:rPr>
                <w:rtl w:val="0"/>
              </w:rPr>
              <w:t xml:space="preserve"> piesaistei nepieciešamās atbalsta programmas vai ad-hoc atbalsta ietvaros. Jāatzīmē, ka arī Inovatīvas uzņēmējdarbības un prioritāro projektu atbalsta likuma anotācijā norādīts: “</w:t>
            </w:r>
            <w:r w:rsidR="00000000" w:rsidRPr="00000000" w:rsidDel="00000000">
              <w:rPr>
                <w:i w:val="1"/>
                <w:rtl w:val="0"/>
              </w:rPr>
              <w:t xml:space="preserve">4. pantā ietverts arī deleģējums Ministru kabinetam izstrādāt </w:t>
            </w:r>
            <w:r w:rsidR="00000000" w:rsidRPr="00000000" w:rsidDel="00000000">
              <w:rPr>
                <w:i w:val="1"/>
                <w:u w:val="single"/>
                <w:rtl w:val="0"/>
              </w:rPr>
              <w:t xml:space="preserve">prioritāro projektu komercdarbības atbalsta programmu</w:t>
            </w:r>
            <w:r w:rsidR="00000000" w:rsidRPr="00000000" w:rsidDel="00000000">
              <w:rPr>
                <w:i w:val="1"/>
                <w:rtl w:val="0"/>
              </w:rPr>
              <w:t xml:space="preserve"> nosacījumus</w:t>
            </w:r>
            <w:r w:rsidR="00000000" w:rsidRPr="00000000" w:rsidDel="00000000">
              <w:rPr>
                <w:rtl w:val="0"/>
              </w:rPr>
              <w:t xml:space="preserve">.” Savukārt likuma 3. panta ceturtajā daļā ir ietverts pilnvarojums Ministru kabinetam noteikt citastarp </w:t>
            </w:r>
            <w:r w:rsidR="00000000" w:rsidRPr="00000000" w:rsidDel="00000000">
              <w:rPr>
                <w:u w:val="single"/>
                <w:rtl w:val="0"/>
              </w:rPr>
              <w:t xml:space="preserve">prioritāro projektu kvalifikācijas kritērijus</w:t>
            </w:r>
            <w:r w:rsidR="00000000" w:rsidRPr="00000000" w:rsidDel="00000000">
              <w:rPr>
                <w:rtl w:val="0"/>
              </w:rPr>
              <w:t xml:space="preserve"> un </w:t>
            </w:r>
            <w:r w:rsidR="00000000" w:rsidRPr="00000000" w:rsidDel="00000000">
              <w:rPr>
                <w:u w:val="single"/>
                <w:rtl w:val="0"/>
              </w:rPr>
              <w:t xml:space="preserve">prioritāro projektu statusa piešķiršanas un zaudēšanas nosacījumus un kārtību</w:t>
            </w:r>
            <w:r w:rsidR="00000000" w:rsidRPr="00000000" w:rsidDel="00000000">
              <w:rPr>
                <w:rtl w:val="0"/>
              </w:rPr>
              <w:t xml:space="preserve">, kā arī </w:t>
            </w:r>
            <w:r w:rsidR="00000000" w:rsidRPr="00000000" w:rsidDel="00000000">
              <w:rPr>
                <w:u w:val="single"/>
                <w:rtl w:val="0"/>
              </w:rPr>
              <w:t xml:space="preserve">prioritāro projektu iesniegšanas, izvērtēšanas, īstenošanas un uzraudzības kārtību</w:t>
            </w:r>
            <w:r w:rsidR="00000000" w:rsidRPr="00000000" w:rsidDel="00000000">
              <w:rPr>
                <w:rtl w:val="0"/>
              </w:rPr>
              <w:t xml:space="preserve"> (3. panta ceturtās daļas 1. un 2. punkts). Saskaņā ar likuma pārejas noteikumu 1. punkta pirmo teikumu Ministru kabinetam likuma 3. panta ceturtajā daļā minētie noteikumi bija jāizdod līdz 2024. gada 30. novembrim, tomēr </w:t>
            </w:r>
            <w:r w:rsidR="00000000" w:rsidRPr="00000000" w:rsidDel="00000000">
              <w:rPr>
                <w:u w:val="single"/>
                <w:rtl w:val="0"/>
              </w:rPr>
              <w:t xml:space="preserve">noteikumi vēl nav izdoti</w:t>
            </w:r>
            <w:r w:rsidR="00000000" w:rsidRPr="00000000" w:rsidDel="00000000">
              <w:rPr>
                <w:rtl w:val="0"/>
              </w:rPr>
              <w:t xml:space="preserve">. Anotācijā sniegts skaidrojums, ka abi iepriekš minētie Inovatīvas uzņēmējdarbības un prioritāro projektu atbalsta likuma pilnvarojumi nav savstarpēji sasaistīti, tomēr šāds skaidrojums, ņemot vērā iepriekš minētos apsvērumus, varētu nebūt korekts un likumam atbilstošs. Attiecīgi atkārtoti lūdzam izvērtēt, vai noteikumu projektu ir pieļaujams virzīt uz apstiprināšanu, pirms ir apstiprināti un stājas spēkā Ministru kabineta noteikumi, kas izdoti uz Inovatīvas uzņēmējdarbības un prioritāro projektu atbalsta likuma 3. panta ceturtās daļas pamata un nosaka prioritāro projektu kvalifikācijas kritērijus u.c. būtiskus pamatjautājumus, un vai nu sniegt izvērstāku skaidrojumu par noteikumu projekta atbilstību likumam, vai arī virzīt noteikumu projektu apstiprināšanai pēc tam, kad tiks izdoti noteikumi uz likuma 3. panta ceturtās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anotācijā skaidrojumu par noteikumu projektā ietvertā regulējuma (sk., piemēram, noteikumu projekta IV. nodaļu) atbilstību Filmu likuma 11. panta trešajā daļā un Inovatīvas uzņēmējdarbības un prioritāro projektu atbalsta likuma 4. panta otrajā daļā paredzētajam pilnvarojumam, ņemot vērā, ka Filmu likuma 11. panta trešajā daļā ir runa par valsts budžeta līdzfinansējumu (un attiecīgi tā piešķiršanas kārtību un kritērijus), savukārt Inovatīvas uzņēmējdarbības un prioritāro projektu atbalsta likuma 4. panta otrajā daļā - par komercdarbības atbalstu.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projekta iesniegums vai projekta iesnieguma iesniedzējs neatbilst šo noteikumu </w:t>
            </w:r>
            <w:r w:rsidR="00000000" w:rsidRPr="00000000" w:rsidDel="00000000">
              <w:rPr>
                <w:rtl w:val="0"/>
              </w:rPr>
              <w:t xml:space="preserve">1.</w:t>
            </w:r>
            <w:r w:rsidR="00000000" w:rsidRPr="00000000" w:rsidDel="00000000">
              <w:rPr>
                <w:rtl w:val="0"/>
              </w:rPr>
              <w:t xml:space="preserve"> pielikuma 1.1. apakšpunktā minētajam (izņemot attiecībā uz šo noteikumu </w:t>
            </w:r>
            <w:r w:rsidR="00000000" w:rsidRPr="00000000" w:rsidDel="00000000">
              <w:rPr>
                <w:rtl w:val="0"/>
              </w:rPr>
              <w:t xml:space="preserve">12.3.</w:t>
            </w:r>
            <w:r w:rsidR="00000000" w:rsidRPr="00000000" w:rsidDel="00000000">
              <w:rPr>
                <w:rtl w:val="0"/>
              </w:rPr>
              <w:t xml:space="preserve"> apakšpunktu) projekta iesnieguma iesniedzēja atbilstības kritērijam vai vienam no šo noteikumu </w:t>
            </w:r>
            <w:r w:rsidR="00000000" w:rsidRPr="00000000" w:rsidDel="00000000">
              <w:rPr>
                <w:rtl w:val="0"/>
              </w:rPr>
              <w:t xml:space="preserve">1.</w:t>
            </w:r>
            <w:r w:rsidR="00000000" w:rsidRPr="00000000" w:rsidDel="00000000">
              <w:rPr>
                <w:rtl w:val="0"/>
              </w:rPr>
              <w:t xml:space="preserve">  pielikuma 2.1., 2.4. (attiecībā uz iesniegšanas veid), 2.5., 2.6. vai 2.7. apakšpunktā minētajiem projekta iesnieguma atbilstības kritērijiem, aģentūra pieņem lēmumu par atteikumu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V nodaļā, kā arī 67. punktā paredzēto regulējumu, lietojot vienotus terminus attiecībā uz tajā minētajiem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šo noteikumu </w:t>
            </w:r>
            <w:r w:rsidR="00000000" w:rsidRPr="00000000" w:rsidDel="00000000">
              <w:rPr>
                <w:rtl w:val="0"/>
              </w:rPr>
              <w:t xml:space="preserve">40.</w:t>
            </w:r>
            <w:r w:rsidR="00000000" w:rsidRPr="00000000" w:rsidDel="00000000">
              <w:rPr>
                <w:rtl w:val="0"/>
              </w:rPr>
              <w:t xml:space="preserve"> punktā minētās informācijas saņemšanas, aģentūra pieņem lēmumu par nosacījumu izpildi un atbalsta piešķiršanu un slēdz ar projekta īstenotāju līgumu par līdzfinansējuma piešķiršanu atbilstoši </w:t>
            </w:r>
            <w:r w:rsidR="00000000" w:rsidRPr="00000000" w:rsidDel="00000000">
              <w:rPr>
                <w:rtl w:val="0"/>
              </w:rPr>
              <w:t xml:space="preserve">36.</w:t>
            </w:r>
            <w:r w:rsidR="00000000" w:rsidRPr="00000000" w:rsidDel="00000000">
              <w:rPr>
                <w:rtl w:val="0"/>
              </w:rPr>
              <w:t xml:space="preserve"> punktā minētajiem lēmumiem vai pieņem lēmumu par atteikumu noslēgt līdzfinansējuma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70. panta trešā daļa paredz, ka a</w:t>
            </w:r>
            <w:r w:rsidR="00000000" w:rsidRPr="00000000" w:rsidDel="00000000">
              <w:rPr>
                <w:u w:val="single"/>
                <w:rtl w:val="0"/>
              </w:rPr>
              <w:t xml:space="preserve">dministratīvais akts ir spēkā tik ilgi, līdz to atceļ, izpilda vai vairs nevar izpildīt sakarā ar faktisko vai tiesisko apstākļu maiņu</w:t>
            </w:r>
            <w:r w:rsidR="00000000" w:rsidRPr="00000000" w:rsidDel="00000000">
              <w:rPr>
                <w:rtl w:val="0"/>
              </w:rPr>
              <w:t xml:space="preserve">. Savukārt Administratīvā procesa likuma 85. panta otrās daļas 1. un 2. punkts paredz, ka </w:t>
            </w:r>
            <w:r w:rsidR="00000000" w:rsidRPr="00000000" w:rsidDel="00000000">
              <w:rPr>
                <w:u w:val="single"/>
                <w:rtl w:val="0"/>
              </w:rPr>
              <w:t xml:space="preserve">adresātam labvēlīgu tiesisku administratīvo aktu var atcelt tad, ja tiesību norma paredz administratīvā akta atcelšanu vai administratīvais akts ietver tā atcelšanas atrunu vai ja administratīvais akts izdots ar kādu citu nosacījumu un šis nosacījums nav vispār izpildīts, nav pienācīgi izpildīts vai nav laikus izpildīts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kontrolējot lēmumā ietvertā nosacījuma izpildi, Latvijas Investīciju un attīstības aģentūra konstatēs, vai nosacījums ir izpildīts vai nē, attiecīgi, </w:t>
            </w:r>
            <w:r w:rsidR="00000000" w:rsidRPr="00000000" w:rsidDel="00000000">
              <w:rPr>
                <w:u w:val="single"/>
                <w:rtl w:val="0"/>
              </w:rPr>
              <w:t xml:space="preserve">ja nosacījums būs izpildīts, pieņemams lēmums par atbalsta piešķiršanu, savukārt, ja nosacījums nebūs izpildīts, pieņemams lēmums par atteikumu piešķirt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noteikumu projekta 41.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lēmumu par atbalsta piešķiršanu saskaņā ar Komisijas regulu Nr. 651/2014 pieņem līdz 2027. gada 30. jūnijam un saskaņā ar Komisijas regulu Nr. 2023/2831 līdz 2031.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projekta 67.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