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22-TA-2394: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 2021.–2027.gadam 1.2. prioritārā virziena “Atbalsts uzņēmējdarbībai” 1.2.3. specifikā atbalsta mērķa “Veicināt ilgtspējīgu izaugsmi, konkurētspēju un darba vietu radīšanu MVU, tostarp ar produktīvām investīcijām” 1.2.3.6. pasākuma “Tūrisma produktu attīstības programma”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Vispārīgie jautājumi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1.2.3.6. pasākuma 1.kārtu, mūsuprāt, ekosistēmu un RIS3 koordinēšana īstenojama maksimāli viena pasākuma ietvaros, lai nodrošinātu resursu koncentrāciju un kvalitatīvu izlietojumu un izvairītos no funkciju un darbību dublēšanas.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Kohēzijas programmas 2021.-2027. gadam 80.paragrāfā ietverto atbalstu ekosistēmu attīstīšanai, t.sk. atbalstu ekosistēmu stratēģiju izstrādei plānots nodrošināt 1.2.1.1.pasākuma "Atbalsts jaunu produktu attīstībai un internacionalizācijai”” 1.kārtas ietvaros (ES fondu finansējums 8 000 000 eur), kur finansējuma saņēmējs būs Ekonomikas ministrija un Latvijas attīstības un investīciju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1.2.3.6.pasākuma 1.kārtas ietvaros plānotā tūrisma sadarbības tīklu koordinācijas darbības, t.sk. konsultatīva atbalsta sniegšanai potenciālajiem projektu iesniedzējiem par stratēģijas un darbības plāna izstrādi, atbilst 1.2.1.1.pasākuma ietvaros plānotajām darbībām, līdz ar to šādu darbību īstenošana integrējama 1211.pasākuma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darījumu tūrisms – tūrisma veids, kura mērķis ir dienesta darījumu kārtošana, komercdarbības jautājumu risināšana, piedalīšanās konferencēs, sanāksmēs un izstādēs, konferenču, kongresu, semināru, samitu, izstāžu organizēšana un uzņemšana, kā arī citu korporatīvo pasākumu rīkošana un koordinēšana, tai skaitā motivācijas, lojalitātes, apbalvojuma, komandas saliedēšanas, korporatīvie atpūtas un izklaides pasākumi darbiniekiem, sadarbības partneriem, klientiem;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motivācijas, lojalitātes, apbalvojuma, komandas saliedēšanas, korporatīvie atpūtas un izklaides pasākumi darbiniekiem, sadarbības partneriem, klientiem nav nekādas saistības ar Eiropas Savienības kohēzijas politikas programmas 2021.–2027.gadam 1.2.3. specifisko atbalsta mērķi "Veicināt ilgtspējīgu izaugsmi, konkurētspēju un darba vietu radīšanu MVU, tostarp ar produktīvām investīcijām" (turpmāk - 1.2.3.SAM), proti, motivēt uzsākt uzņēmējdarbību un motivēt pievērsties inovatīvu risinājumu izstrādei un lietošanai, tādējādi sekmējot inovatīvo uzņēmumu īpatsvaru ekonomikā.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lūdzam atbilstoši precizēt šo apakšpunktu. Papildus lūdzam svītrot vārdus "kā arī citu korporatīvo pasākumu rīkošana un koordinēšana", tā kā tas izraisa nekorektas interpretācijas riskus.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Sadarbības iestāde veic projektu iesniegumu atlasi šādos veidos: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nosakot, ka atlasi izsludina tikai pieejamā finansējuma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Kvartenoka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otro projektu iesniegumu atlases kārtu - atklātas projektu iesniegumu atlases veidā 2 mēnešus pēc šo noteikumu spēkā stāšanās.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norādi par termiņu noteikumu projekta 6.2. apakšpunktā, ņemot vērā, ka atlases izsludināšanas termiņš noteikts protokollēmuma projekta 4. punktā. Ievērojot konsekvenci ar 6.1. apakšpunktu, 6.2. apakšpunktā būtu nosakāms tikai atlases veids (atklāta projektu iesniegumu atlase).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Kvartenoka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Pasākuma ietvaros kopējais plānotais finansējums ir 6 525 000 euro (t.sk. elastības finansējuma apjoms 1 029 157 euro), tai skaitā Eiropas Reģionālā attīstības fonda (turpmāk - ERAF) finansējums 5 546 250 euro (t.sk. elastības finansējuma apjoms 874 784 euro), valsts budžeta 978 750 euro (t.sk. elastības finansējuma apjoms 154 373 euro) un minimālais privātais finansējums 311 842  euro (t.sk. elastības finansējuma apjoms 49 185 euro), kas sadalās kārtās šādi: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apakšpunktā iekļautais finansējums pārsniedz pasākumam paredzēto kopējo finansējumu, proti, fondu finansējuma 5 546 250 euro, valsts budžeta finansējuma 978 750 euro un privātā finansējuma 311 842 euro summa pārsniedz 6 525 000 euro (piedāvātais pasākuma finansējums sastāda 6 836 842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311 842 euro atbilst pasākuma rezultātā rādītāja vērtībai. Iespējams 978 750 euro nacionālo finansējumu veido 311 842 euro privātais finansējums un 666 908 euro valsts budžeta finansējums. Lūdzam vēlreiz caurskatīt ar finansējumu saistīto MK noteikumu punkta redakciju, lai tas atbilstu Kohēzijas programmas ietvertai informācijai. Lūdzam precizēt arī anotācijā sniegto informāciju.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Pasākuma ietvaros kopējais pieejamais finansējums ir 5 495 843 euro, tai skaitā ERAF finansējums 4 670 617 euro, valsts budžeta finansējums 824 376 euro un minimālais privātais finansējums 262 657 euro, kas sadalās: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kopējais pieejamais ERAF finansējums ir 4 671 466 euro. Savukārt kopējais pieejamais valsts budžeta finansējums ir 824 377 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Pasākuma maksimālā publiskā finansējuma intensitāte no projekta kopējā attiecināmā finansējuma: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norādot pieļaujamo ERAF, valsts budžeta intensitāti, minimālo privātā līdzfinansējuma likmi projektā atbilstoši projektu iesniegumu atlases kārtai.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Kvartenoka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 pirmās kārtas ietvaros ir 100%;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kopējai 1.2.3. SAM ERAF intensitātei nedrīkst pārsniegt 85%.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 līdz 2024. gada 31. decembrim konsultēti vismaz 10 potenciālie projekta iesnieguma iesniedzēji par sadarbības tīkla stratēģijas izstrādi;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MK noteikumu projektā iekļauto informāciju, var secināt, ka pasākuma 2.kārtas atlase būs divu mēnešu laikā pēc MK noteikumu apstiprināšanas, tādējādi nav skaidrs, kurā brīdī LIAA plāno konsultēt sadarbības tīklus par sadarbības tīkla stratēģijas izstrādi.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14.1.1. līdz 2024. gada 31. decembrim atbalstīto komersantu skaits, kas saņem grantu – 12;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rādītāja nosaukumu atbilstoši Kohēzijas programmā 2021.-2027.gadam iekļautai informācijai, proti, "Ar grantiem atbalstītie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lūdzam papildināt MK noteikumu projektu ar rādītāju "Atbalstītie uzņēmumi (tai skaitā: mikrouzņēmumi, mazi, vidēji un lieli uzņēmumi)" un to vērtību.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precizēt arī anotācijā sniegto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 rezultāta rādītājs - līdz 2029. gada 31. decembrim publisko finansējumu papildinošās privātās investīcijas ir ne mazākas kā 311 842 euro;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rezultāta rādītāja nosaukumu atbilstoši Kohēzijas programmā iekļautai informācijai, proti, "Publisko atbalstu papildinošās privātās investīcijas (tai skaitā: granti, finanšu instrumenti)". Lūdzam precizēt arī anotācijā sniegto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14.3. nacionālie rādītāji, ko sadarbības tīkls iesniedz aģentūrai pēc pieprasījuma: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šos rādītājus noteikt, kā prasību (nosacījumus) finansējuma saņēmējam, iekļaujot arī vērtēšanas kritērijos pie vienoto kritēriju 8. vai 9. kritērija piemērošanas skaidrojuma (saskaņā ar atlases metodiku, šo vērtēšanas kritēriju piemērošanas skaidrojumu var papildināt) nevis noteikt MK noteikumos kā nacionālos rādītājus.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Fomčenkova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14.3.1. līdz 2029. gada 31. decembrim īstenotas 75% darbību no visos darbības plānos iekļautajām darbībām;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rādītājs nav saprotams. Lūdzam rādītāju dzēst vai precizēt, jo, mūsuprāt, projekta īstenošanas beigās būtu jāīsteno 100% no darbības plānos iekļautajām darbībām.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Fomčenkova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 reģistrēts Latvijas Republikas Uzņēmumu reģistra biedrību un nodibinājumu reģistrā vai komercreģistrā. Projekta iesniegumu var iesniegt viens no sadarbības tīkla dalībniekiem, ja sadarbības tīkls uz iesnieguma iesniegšanas brīdi sadarbības iestādē nav reģistrēts Latvijas Republikas Uzņēmumu reģistra biedrību un nodibinājumu reģistrā vai komercreģistrā, iesniedzot juridiski apliecinātu (parakstītu) dokumentu, ka projekta iesniegumā norādītie sadarbības tīkla dalībnieki apņemas nodibināt juridisku personu viena mēneša laikā, ja projekta iesniegums tiek apstiprināts sadarbības iestādē;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saskaņā ar Eiropas Savienības fondu 2021.–2027. gada plānošanas perioda vadības likuma 1. pantā noteikto finansējuma saņēmēja definīciju, finansējuma saņēmējs atbilstoši šī SAM īstenošanas veidam ir persona, kuras projekta iesniegums ir ticis apstiprināts. Tādējādi, ja projekta iesniegumu iesniegs viens no potenciālā sadarbības tīkla dalībniekiem, tieši šī persona, nevis nākotnē izveidojams sadarbības tīkls, būs uzskatāms par finansējuma saņēmēju, t. sk. līgums par projekta īstenošanu būs slēdzams ar šo personu.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Kvartenoka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Otrās kārtas ietvaros sadarbības iestāde projektu iesniegumu vērtēšanas komisijas sastāvā iekļauj pārstāvjus no atbildīgās iestādes un aģentūras. Atbildīgās iestādes un aģentūras pārstāvji projektu iesniegumu vērtēšanas procesā vērtē iesniegtās sadarbības tīklu stratēģijas.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atbildīgā iestāde kā balsstiesīgs vērtēšanas komisijas loceklis ir iekļaujams arī citu vērtēšanas kritēriju vērtēšanā, lūdzam punktu izteikt šādā redakcijā. Vienlaikus lūdzam jaunā punktā noteikt, ka vērtēšanas komisijā nevar piedalīties aģentūras pārstāvis, kurš iesaistījies konsultāciju sniegšanā par stratēģijas izstrādi.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Otrās kārtas ietvaros sadarbības iestāde projektu iesniegumu vērtēšanas komisijas sastāvā iekļauj pārstāvjus no atbildīgās iestādes un aģentūras. Sadarbības tīklu stratēģijas iesniegtās stratēģijas projektu iesniegumu vērtēšanas ietvaros vērtē atbildīgās iestādes un aģentūras pārstāvji.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Kvartenoka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 informācijas izplatīšana par pasākumu;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Nolūkā nodrošināt nepārprotamu arī obligāto publicitātes pasākumu atbalstāmību projektā, lūdzam papildināt 32.1. apakšpunktu, izsakot to piedāvātajā redakcijā. Atbilstošus precizējumus lūdzam veikt arī anotācijā, kā arī iekļaut skaidrojumu, ja šie pasākumi ietver vairāk nekā tikai obligātos publicitātes pasākumus.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un publicitātes pasākumi;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Kvartenoka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Pirmās kārtas ietvaros aģentūrai šo noteikumu </w:t>
            </w:r>
            <w:r w:rsidR="00000000" w:rsidRPr="00000000" w:rsidDel="00000000">
              <w:rPr>
                <w:rtl w:val="0"/>
              </w:rPr>
              <w:t xml:space="preserve">32.</w:t>
            </w:r>
            <w:r w:rsidR="00000000" w:rsidRPr="00000000" w:rsidDel="00000000">
              <w:rPr>
                <w:rtl w:val="0"/>
              </w:rPr>
              <w:t xml:space="preserve"> punktā minēto atbalstāmo darbību īstenošanā paredzētas šādas tiešās attiecināmās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paredzēt izmaksas obligāto informācijas un komunikācijas pasākumu īstenošanai. Vienlaikus aicinām noteikt, ka šo noteikumu 33. punktā noteikto attiecināmo izmaksu ietvaros ir attiecināmas arī izmaksas horizontālā principa “vienlīdzība, iekļaušana, nediskriminācija un pamattiesību ievērošana” ievērošanai.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Kvartenoka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33.3. pasākumu un noslēguma konferences organizēšanas pakalpojuma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Nekorektas interpretācijas novēršanai, lūdzam precizēt noteikumu projekta 33.3. apakšpunktu atbilstoši noteikumu projekta 32.7. apakšpunktā minētajām atbalstāmajām darbībām, lai būtu skaidrs, ka šeit minētās attiecināmās izmaksas ietver arī tīklošanās pasākumus, ņemot vērā izziņas 115.punktā sniegto skaidrojumu: "Minētā darbība ir komercdarbības atbalsts.".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Sarmīte Zakovska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Šo noteikumu </w:t>
            </w:r>
            <w:r w:rsidR="00000000" w:rsidRPr="00000000" w:rsidDel="00000000">
              <w:rPr>
                <w:rtl w:val="0"/>
              </w:rPr>
              <w:t xml:space="preserve">33.1.</w:t>
            </w:r>
            <w:r w:rsidR="00000000" w:rsidRPr="00000000" w:rsidDel="00000000">
              <w:rPr>
                <w:rtl w:val="0"/>
              </w:rPr>
              <w:t xml:space="preserve"> apakšpunktā noteiktās izmaksu kopsumma nedrīkst pārsniegt 364 800 euro, un tās ir attiecināmas atbilstoši atbildīgās iestādes izstrādātajai vienkāršoto izmaksu metodikai, kas saskaņota ar vadošo iestādi.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kā tiks nodrošināta LIAA darbinieku funkciju nepārklāšanās, ņemot vērā, ka pašlaik vairākos pasākumos ir paredzēts piemērot vienoto personāla atlīdzības likmi.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Trizna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Pasākuma pirmās kārtas ietvaros izmaksas ir attiecināmas, ja tās atbilst šajos noteikumos minētajām izmaksu pozīcijām un ir radušās ne agrāk par brīdi, kad projekta iesniedzējs iesniedzis projekta iesniegumu KPVIS.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Konstatēta pretruna ar MKN 70.punktu, kurā noteikts, ka LIAA izmaksas ir attiecināmas ar 01.01.2023. Lūdzam MKN nodrošināt savstarpēji saskaņotu informāciju starp 37. un 70.punktu.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Cintija Ripa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Aģentūra pasākuma ietvaros noteikto atbalstāmo darbību finansēšanai nedrīkst papildus piesaistīt finansējumu no Eiropas Savienības vai citiem publiskajiem līdzekļiem, tai skaitā valsts un pašvaldību līdzekļiem par vienām un tām pašām attiecināmajām izmaksām.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šo noteikumu ietvaros ir paredzēts, ka de minimis atbalsta saņēmējs ir arī Aģentūra, vēršam uzmanību, ka noteikumu projekta 38.punktā ietvertais nosacījums ir pretrunā šo noteikumu 87. punktam, kurā ir atļauta atbalsta kumulācija.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Sarmīte Zakovska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Otrās kārtas ietvaros tiek atbalstītas šādas darbības: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Nolūkā nodrošināt nepārprotamu arī obligāto publicitātes pasākumu atbalstāmību projektā, lūdzam papildināt 39. punktā noteiktās atbasltāmās darbības ar informācijas un publicitātes pasākumiem. Atbilstošus precizējumus lūdzam veikt arī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Kvartenoka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Otrās kārtas ietvaros sadarbības tīklam šo noteikumu </w:t>
            </w:r>
            <w:r w:rsidR="00000000" w:rsidRPr="00000000" w:rsidDel="00000000">
              <w:rPr>
                <w:rtl w:val="0"/>
              </w:rPr>
              <w:t xml:space="preserve">39.</w:t>
            </w:r>
            <w:r w:rsidR="00000000" w:rsidRPr="00000000" w:rsidDel="00000000">
              <w:rPr>
                <w:rtl w:val="0"/>
              </w:rPr>
              <w:t xml:space="preserve"> punktā minēto atbalstāmo darbību īstenošanā paredzētas šādas tiešās attiecināmās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paredzēt izmaksas obligāto informācijas un komunikācijas pasākumu īstenošanai. Vienlaikus aicinām noteikt, ka šo noteikumu 41. punktā noteikto attiecināmo izmaksu ietvaros ir attiecināmas arī izmaksas horizontālā principa “vienlīdzība, iekļaušana, nediskriminācija un pamattiesību ievērošana” ievērošanai.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Kvartenoka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Otrās kārtas ietvaros sadarbības tīklam šo noteikumu </w:t>
            </w:r>
            <w:r w:rsidR="00000000" w:rsidRPr="00000000" w:rsidDel="00000000">
              <w:rPr>
                <w:rtl w:val="0"/>
              </w:rPr>
              <w:t xml:space="preserve">39.</w:t>
            </w:r>
            <w:r w:rsidR="00000000" w:rsidRPr="00000000" w:rsidDel="00000000">
              <w:rPr>
                <w:rtl w:val="0"/>
              </w:rPr>
              <w:t xml:space="preserve"> punktā minēto atbalstāmo darbību īstenošanā paredzētas šādas tiešās attiecināmās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izziņas 155. punktā norādīts iepriekš izteiktais iebildums ar lūgumu skaidrot, vai neizpildās Regulas Nr.2021/1060 53.panta 2.punkta nosacījums par obligātu vienkāršoto izmaksu piemērošanu visām izmaksām, ņemot vērā, ka tiek sniegts atbalsts sadarbības tīkla dalībniekiem un pirmšķietami finansējuma apmērs vienam dalībniekam nepārsniegs 200 000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sniegtās atbildes secināms, ka vienkāršotās izmaksas ir jāpiemēro un plānots izstrādāt atbilstošas metodikas, taču ne MK noteikumu projektā, ne anotācijā šāda informācija nav norādīta. Lūdzam veikt attiecīgus papildinājumus.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Trizna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Šo noteikumu </w:t>
            </w:r>
            <w:r w:rsidR="00000000" w:rsidRPr="00000000" w:rsidDel="00000000">
              <w:rPr>
                <w:rtl w:val="0"/>
              </w:rPr>
              <w:t xml:space="preserve">41.1.</w:t>
            </w:r>
            <w:r w:rsidR="00000000" w:rsidRPr="00000000" w:rsidDel="00000000">
              <w:rPr>
                <w:rtl w:val="0"/>
              </w:rPr>
              <w:t xml:space="preserve"> apakšpunktā noteiktās izmaksas attiecināmas atbilstoši atbildīgās iestādes izstrādātajai vienkāršoto izmaksu metodikai, kas saskaņota ar vadošo iestādi.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kā ir attiecināmas izmaksas līdz šīs metodikas apstiprināšanai (ņemot vērā, ka saskaņā ar protokollēmumā noteikto atlase ir izsludināma divu mēnešu laikā pēc šo noteikumu spēkā stāšanās, ir liela varbūtība, ka atlases norises laikā vienkāršoto izmaksu metodika vēl nebūs apstiprināta.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Kvartenoka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Sadarbības tīkli un sadarbības tīkla dalībnieki pasākuma ietvaros noteikto atbalstāmo darbību finansēšanai nedrīkst papildus piesaistīt finansējumu no Eiropas Savienības vai citiem publiskajiem līdzekļiem, tai skaitā valsts un pašvaldību līdzekļiem par vienām un tām pašām attiecināmajām izmaksām.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pretrunu ar noteikumu projekta 87. punktu, kas noteic, ka šo noteikumu ietvaros saņemto</w:t>
            </w:r>
            <w:r w:rsidR="00000000" w:rsidRPr="00000000" w:rsidDel="00000000">
              <w:rPr>
                <w:i w:val="1"/>
                <w:rtl w:val="0"/>
              </w:rPr>
              <w:t xml:space="preserve"> de minimis</w:t>
            </w:r>
            <w:r w:rsidR="00000000" w:rsidRPr="00000000" w:rsidDel="00000000">
              <w:rPr>
                <w:rtl w:val="0"/>
              </w:rPr>
              <w:t xml:space="preserve"> atbalstu var apvienot ar citu </w:t>
            </w:r>
            <w:r w:rsidR="00000000" w:rsidRPr="00000000" w:rsidDel="00000000">
              <w:rPr>
                <w:i w:val="1"/>
                <w:rtl w:val="0"/>
              </w:rPr>
              <w:t xml:space="preserve">de minimis</w:t>
            </w:r>
            <w:r w:rsidR="00000000" w:rsidRPr="00000000" w:rsidDel="00000000">
              <w:rPr>
                <w:rtl w:val="0"/>
              </w:rPr>
              <w:t xml:space="preserve"> atbalstu par vienām un tām pašām attiecināmajām 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Kvartenoka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Pasākuma otrās kārtas ietvaros finansējuma saņēmējs ir sadarbības tīkli.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ir persona, kuras projekta iesniegums ir ticis apstiprināts (lūdzu skatīt iebildumu pie noteikumu projekta 20.1. apakšpunkta).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Kvartenoka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Visām </w:t>
            </w:r>
            <w:r w:rsidR="00000000" w:rsidRPr="00000000" w:rsidDel="00000000">
              <w:rPr>
                <w:rtl w:val="0"/>
              </w:rPr>
              <w:t xml:space="preserve">41. </w:t>
            </w:r>
            <w:r w:rsidR="00000000" w:rsidRPr="00000000" w:rsidDel="00000000">
              <w:rPr>
                <w:rtl w:val="0"/>
              </w:rPr>
              <w:t xml:space="preserve">punktu</w:t>
            </w:r>
            <w:r w:rsidR="00000000" w:rsidRPr="00000000" w:rsidDel="00000000">
              <w:rPr>
                <w:rtl w:val="0"/>
              </w:rPr>
              <w:t xml:space="preserve"> punktā minētajām izmaksām, kur paredzētas izmaksas iekšzemes komandējumiem, Finansējuma saņēmējam jāpiemēro vadošās iestādes izstrādātās metodikas "Vienas vienības izmaksu standarta likmes aprēķina un piemērošanas metodika 1 km izmaksām darbības programmas “Izaugsme un nodarbinātība” un Eiropas Savienības kohēzijas politikas programmas 2021.–2027.gadam  īstenošanai" un "Vienas vienības izmaksu standarta likmes aprēķina un piemērošanas metodika iekšzemes komandējumu izmaksām darbības programmas “Izaugsme un nodarbinātība” īstenošanai". Ārvalstu komandējuma izmaksas sedzamas tikai projekta īstenošanas personālam un projektu vadītājam.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šo punktu iekļaut sadaļā "3.2. Pasākuma otrās kārtas atbalstāmo darbību un izmaksu attiecināmības nosacījumi"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Kvartenoka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Visām </w:t>
            </w:r>
            <w:r w:rsidR="00000000" w:rsidRPr="00000000" w:rsidDel="00000000">
              <w:rPr>
                <w:rtl w:val="0"/>
              </w:rPr>
              <w:t xml:space="preserve">41. </w:t>
            </w:r>
            <w:r w:rsidR="00000000" w:rsidRPr="00000000" w:rsidDel="00000000">
              <w:rPr>
                <w:rtl w:val="0"/>
              </w:rPr>
              <w:t xml:space="preserve">punktu</w:t>
            </w:r>
            <w:r w:rsidR="00000000" w:rsidRPr="00000000" w:rsidDel="00000000">
              <w:rPr>
                <w:rtl w:val="0"/>
              </w:rPr>
              <w:t xml:space="preserve"> punktā minētajām izmaksām, kur paredzētas izmaksas iekšzemes komandējumiem, Finansējuma saņēmējam jāpiemēro vadošās iestādes izstrādātās metodikas "Vienas vienības izmaksu standarta likmes aprēķina un piemērošanas metodika 1 km izmaksām darbības programmas “Izaugsme un nodarbinātība” un Eiropas Savienības kohēzijas politikas programmas 2021.–2027.gadam  īstenošanai" un "Vienas vienības izmaksu standarta likmes aprēķina un piemērošanas metodika iekšzemes komandējumu izmaksām darbības programmas “Izaugsme un nodarbinātība” īstenošanai". Ārvalstu komandējuma izmaksas sedzamas tikai projekta īstenošanas personālam un projektu vadītājam.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sniegto iebildumu un lūdzam precizēt metodikas nosaukumu uz "Vienas vienības izmaksu standarta likmes aprēķina un piemērošanas metodika iekšzemes komandējumu izmaksām darbības programmas “Izaugsme un nodarbinātība” un Eiropas Savienības kohēzijas politikas programmas 2021.–2027.gadam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Trizna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Otrās kārtas ietvaros sadarbības iestādei pirms katra maksājuma pieprasījuma un noslēguma maksājuma apstiprināšanas, ir pienākums informēt Atbildīgo iestādi par šo noteikumu </w:t>
            </w:r>
            <w:r w:rsidR="00000000" w:rsidRPr="00000000" w:rsidDel="00000000">
              <w:rPr>
                <w:rtl w:val="0"/>
              </w:rPr>
              <w:t xml:space="preserve">14.3.</w:t>
            </w:r>
            <w:r w:rsidR="00000000" w:rsidRPr="00000000" w:rsidDel="00000000">
              <w:rPr>
                <w:rtl w:val="0"/>
              </w:rPr>
              <w:t xml:space="preserve"> apakšpunktā noteikto rādītāju izpildi. Atbildīgā iestāde par sasniegtajiem nacionālajiem rādītājiem sniedz atzinumu sadarbības iestādei. Ja sadarbības tīkls pirms noslēguma maksājuma pieprasījuma rādītājus nav sasniedzis, sadarbības iestāde, pamatojoties uz Atbildīgās iestādēs atzinumu, var neizmaksāt noslēguma maksājumu.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nacionālo rādītāju uzraudzība atbilstoši noteikumu projekta 15. punktam ir Atbildīgās iestādes atbildībā un Sadarbības iestāde nevar piemērot finanšu korekciju par projekta nacionālo rādītāju nesasniegšanu, lūdzam dzēst šo punktu. Lūdzam arī skatīt CFLA iebildumu pie noteikumu projekta 14.3. apakšpunkta. Papildus norādām, ka Atbildīgai iestādei tiek nodrošināta pieeja KPVIS, lai sekotu līdzi rādītāju izpildei.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Fomčenkova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Ar atbalsta saņemšanu saistītie nosacījumi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paredzēt prasību otrās kārtas projekta iesniedzējam izstrādāt un iesniegt sadarbības iestādē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kārtību, kādā tas nodrošinās </w:t>
            </w:r>
            <w:r w:rsidR="00000000" w:rsidRPr="00000000" w:rsidDel="00000000">
              <w:rPr>
                <w:i w:val="1"/>
                <w:rtl w:val="0"/>
              </w:rPr>
              <w:t xml:space="preserve">de minimis </w:t>
            </w:r>
            <w:r w:rsidR="00000000" w:rsidRPr="00000000" w:rsidDel="00000000">
              <w:rPr>
                <w:rtl w:val="0"/>
              </w:rPr>
              <w:t xml:space="preserve">atbalsta sniegšanu.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Kvartenoka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Ar atbalsta saņemšanu saistītie nosacījumi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83.punktā minēto, ka atbalstu pirmās kārtas ietvaros sniedz ar Komisijas regulu Nr.1407/2013, l</w:t>
            </w:r>
            <w:r w:rsidR="00000000" w:rsidRPr="00000000" w:rsidDel="00000000">
              <w:rPr>
                <w:u w:val="single"/>
                <w:rtl w:val="0"/>
              </w:rPr>
              <w:t xml:space="preserve">ūdzam noteikumu projektu papildināt, ar de minimis atbalsta nosacījumiem</w:t>
            </w:r>
            <w:r w:rsidR="00000000" w:rsidRPr="00000000" w:rsidDel="00000000">
              <w:rPr>
                <w:rtl w:val="0"/>
              </w:rPr>
              <w:t xml:space="preserve">, t.sk., nelikumīga komercdarbības atbalsta atgūšanas normu, ko attiecinātu arī uz komercdarbības atbalsta kontroles normu pārkāpumu</w:t>
            </w:r>
            <w:r w:rsidR="00000000" w:rsidRPr="00000000" w:rsidDel="00000000">
              <w:rPr>
                <w:u w:val="single"/>
                <w:rtl w:val="0"/>
              </w:rPr>
              <w:t xml:space="preserve"> pirmās kārtas ietvaros.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Sarmīte Zakovska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Otrās kārtas ietvaros datums, kad sadarbības tīkls pieņēmis lēmumu par atbalsta piešķiršanu sadarbības tīkla dalībniekam, uzskatāms par atbalsta piešķiršanas datumu. Sadarbības tīkls lēmumu par atbalsta piešķiršanu sadarbības tīkla dalībniekam pieņem regulas Nr. 1407/2013 7. panta 4. punktā un 8. pantā noteiktajā termiņā.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nepieciešams papildināt ar nosacījumu par to, ar kuru brīdi CFLA otrās kārtas ietvaros piešķirs komercdarbības atbalstu sadarbības tīklam. Nosakot brīdi, ar kuru CFLA pieņems lēmumu par komercdarbības atbalsta piešķiršanu sadarbības tīklam, lūdzam ņemt vērā MKN 20.1.apakšpunkta nosacījumu, ka projekta iesniegumu drīkst iesniegt sadarbības tīkla dalībnieks situācijā, kad sadarbības tīkls - juridiskā persona vēl pat nav nodibināta.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Cintija Ripa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Pirmās kārtas ietvaros finansējumu šo noteikumu </w:t>
            </w:r>
            <w:r w:rsidR="00000000" w:rsidRPr="00000000" w:rsidDel="00000000">
              <w:rPr>
                <w:rtl w:val="0"/>
              </w:rPr>
              <w:t xml:space="preserve">33.2.</w:t>
            </w:r>
            <w:r w:rsidR="00000000" w:rsidRPr="00000000" w:rsidDel="00000000">
              <w:rPr>
                <w:rtl w:val="0"/>
              </w:rPr>
              <w:t xml:space="preserve"> punktā un </w:t>
            </w:r>
            <w:r w:rsidR="00000000" w:rsidRPr="00000000" w:rsidDel="00000000">
              <w:rPr>
                <w:rtl w:val="0"/>
              </w:rPr>
              <w:t xml:space="preserve">33.3.</w:t>
            </w:r>
            <w:r w:rsidR="00000000" w:rsidRPr="00000000" w:rsidDel="00000000">
              <w:rPr>
                <w:rtl w:val="0"/>
              </w:rPr>
              <w:t xml:space="preserve"> punktā, ja attiecināms, minēto izmaksu segšanai sniedz saskaņā ar regulu Nr. 1407/2013 un normatīvajiem aktiem par de minimis atbalsta uzskaites un piešķiršanas kārtību un de minimis atbalsta uzskaites veidlapu paraugiem.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83.punktu skaidri definējot, kurš pirmās kārtas ietvaros ir de minimis atbalsta sniedzējs un de minimis atbalsta saņēmējs. Vienlaikus lūdzam noteikumu projektā skaidri noteikt, kādām atbalstāmajām darbībām un attiecināmajām izmaksām atbalsts pirmās kārtas ietvaros tiek sniegts ar Komisijas regulu Nr.1407/2013, ņemot vērā noteikumu projekta 83.punktā minēto "</w:t>
            </w:r>
            <w:r w:rsidR="00000000" w:rsidRPr="00000000" w:rsidDel="00000000">
              <w:rPr>
                <w:i w:val="1"/>
                <w:rtl w:val="0"/>
              </w:rPr>
              <w:t xml:space="preserve">pirmās kārtas ietvaros finansējumu šo noteikumu 33.2. punktā un 33.3. punktā, ja attiecināms,</w:t>
            </w:r>
            <w:r w:rsidR="00000000" w:rsidRPr="00000000" w:rsidDel="00000000">
              <w:rPr>
                <w:rtl w:val="0"/>
              </w:rPr>
              <w:t xml:space="preserve">". Ja plānots, ka Aģentūra piešķir atbalstu ar Komisijas regulu Nr.1407/2013, lūdzam izvērtēt, vai noteikumu projektā nebūtu jāiekļauj informācija, ka Aģentūra izstrādā iekšējo procedūru, kas paredz kārtību, kādā Aģentūra nodrošinās de minimis atbalsta sniegšanu.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Sarmīte Zakovska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 Sadarbības tīklam un katram sadarbības tīkla dalībniekam piešķirtais atbalsta apjoms viena vienota uzņēmuma līmenī kopā ar attiecīgajā fiskālajā gadā un iepriekšējos divos fiskālajos gados piešķirto de minimis atbalstu nedrīkst pārsniegt regulas Nr. 1407/2013 3. panta 2. punktā noteikto maksimālo de minimis atbalsta apmēru. Komercdarbības atbalsta piešķiršanu, aprēķināšanu un uzskaiti sadarbības tīklam veic sadarbības iestāde vai pirmās kārtas ietvaros aģentūra. Komercdarbības atbalsta piešķiršanu, aprēķināšanu un uzskaiti sadarbības tīkla dalībniekiem veic sadarbības tīkls.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šajā punktā minētā prasība ir jāpārbauda pirms atbalsta piešķiršanas, lai pārliecinātos, ka Sadarbības tīklam un katram sadarbības tīkla dalībniekam plānotais atbalsta apjoms viena vienota uzņēmuma līmenī kopā ar attiecīgajā fiskālajā gadā un iepriekšējos divos fiskālajos gados piešķirto de minimis atbalstu nedrīkst pārsniegt regulas Nr. 1407/2013 3. panta 2. punktā noteikto maksimālo de minimis atbalsta apmēru, aicinām šo punktu precizē, piemēram,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tīklam un katram sadarbības tīkla dalībniekam </w:t>
            </w:r>
            <w:r w:rsidR="00000000" w:rsidRPr="00000000" w:rsidDel="00000000">
              <w:rPr>
                <w:b w:val="1"/>
                <w:rtl w:val="0"/>
              </w:rPr>
              <w:t xml:space="preserve">plānotais</w:t>
            </w:r>
            <w:r w:rsidR="00000000" w:rsidRPr="00000000" w:rsidDel="00000000">
              <w:rPr>
                <w:rtl w:val="0"/>
              </w:rPr>
              <w:t xml:space="preserve"> atbalsta apjoms viena vienota uzņēmuma līmenī kopā ar attiecīgajā fiskālajā gadā un iepriekšējos divos fiskālajos gados piešķirto de minimis atbalstu nedrīkst pārsniegt regulas Nr. 1407/2013 3. panta 2. punktā noteikto maksimālo de minimis atbalsta apmēru. Komercdarbības atbalsta piešķiršanu, aprēķināšanu un uzskaiti sadarbības tīklam veic sadarbības iestāde vai pirmās kārtas ietvaros aģentūra. Komercdarbības atbalsta piešķiršanu, aprēķināšanu un uzskaiti sadarbības tīkla dalībniekiem veic sadarbības tīkls.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Sarmīte Zakovska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94.1. sadarbības iestāde un sadarbības tīkls nodrošina ar komercdarbības atbalsta piešķiršanu saistīto dokumentu glabāšanu 10 fiskālos gadus, sākot no dienas, kurā saskaņā ar šo noteikumu projektu piešķirts pēdējais komercdarbības atbalsts;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sadarbības tīkls saskaņā ar MK noteikumu projekta 89.punktu ir arī de minimis atbalsta saņēmējs, lūdzam papildināt noteikumu projektu ar dokumentu glabāšanas pienākumu arī attiecībā uz to.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Vītoliņš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94.2. aģentūra pirmās kārtas ietvaros nodrošina ar atbalsta saņemšanu saistīto dokumentu glabāšanu 10 fiskālos gadus, sākot no dienas, kurā saskaņā ar šo noteikumu projektu piešķirts atbalsts;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Finanšu ministrijas iebildumu, kas iekļauts izziņas 212.punktā un atkārtoti lūdzam precizēt noteikumu projekta 94.2. apakšpunktu. No šī brīža redakcijas joprojām nav skaidrs, kurš ir de minimis atbalsta sniedzējs un saņēmējs pirmajā kārtā.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Sarmīte Zakovska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saskaņā ar Kohēzijas programmas 2021.-2027. gadam pasākumam ir šādi intervences kodi un tam paredzētais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kārta: 170 kods 510 000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kārta: 11 kods 503 625 euro; 21 kods 4 532 625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precizēt anotācijā norādīto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sniegt (pēc iespējas kvantitatīvu) novērtējumu par pasākuma plānoto ietekmi uz NAP un NIP 21-27.</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83.punktā minēto, saskatām pretrunu, ar anotācijā sniegto informāciju</w:t>
            </w:r>
            <w:r w:rsidR="00000000" w:rsidRPr="00000000" w:rsidDel="00000000">
              <w:rPr>
                <w:i w:val="1"/>
                <w:rtl w:val="0"/>
              </w:rPr>
              <w:t xml:space="preserve"> "</w:t>
            </w:r>
            <w:r w:rsidR="00000000" w:rsidRPr="00000000" w:rsidDel="00000000">
              <w:rPr>
                <w:i w:val="1"/>
                <w:u w:val="single"/>
                <w:rtl w:val="0"/>
              </w:rPr>
              <w:t xml:space="preserve">Aģentūra pirmās kārtas ietvaros darbojas savas deleģētās funkcijas ietvaros</w:t>
            </w:r>
            <w:r w:rsidR="00000000" w:rsidRPr="00000000" w:rsidDel="00000000">
              <w:rPr>
                <w:i w:val="1"/>
                <w:rtl w:val="0"/>
              </w:rPr>
              <w:t xml:space="preserve">. Ņemot vērā, ka aģentūrai ir noteikta funkcija īstenot pasākumus saskaņā ar valsts atbalsta programmām un nodrošināt Eiropas Savienības fondu un citu ārvalstu finanšu instrumentu līdzfinansēto aktivitāšu administrēšanu, tad  noteikumu projekta 31. punktā noteiktās atbalstāmās darbības ir aģentūras darbības, lai veiktu attiecīgo funkciju un sekmīgi nodrošinātu pasākuma īstenošanu." </w:t>
            </w:r>
            <w:r w:rsidR="00000000" w:rsidRPr="00000000" w:rsidDel="00000000">
              <w:rPr>
                <w:rtl w:val="0"/>
              </w:rPr>
              <w:t xml:space="preserve">Lūdzam anotācijā skaidrot, kas pirmajā kārtā ir de minimis atbalsta sniedzējs un de minimis atbalsta saņēmējs, t.sk., kāda loma pirmajā kārtā ir sadarbības tīklam un tā dalībniekiem.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Sarmīte Zakovska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izziņas 135.punktā sniegto skaidrojumu un anotācijas 1.3. sadaļā sniegto informāciju: " </w:t>
            </w:r>
            <w:r w:rsidR="00000000" w:rsidRPr="00000000" w:rsidDel="00000000">
              <w:rPr>
                <w:i w:val="1"/>
                <w:rtl w:val="0"/>
              </w:rPr>
              <w:t xml:space="preserve">[..] kā arī visi sadarbības partneri var līdzdarboties sadarbības tīkla dalībniekiem organizētājās apmācībās.", </w:t>
            </w:r>
            <w:r w:rsidR="00000000" w:rsidRPr="00000000" w:rsidDel="00000000">
              <w:rPr>
                <w:rtl w:val="0"/>
              </w:rPr>
              <w:t xml:space="preserve">lūdzam anotācijā sniegt plašāku skaidrojumu, kāda veida sadarbības partneru līdzdarbība ir plānota apmācībās, t.i., vai sadarbības partneri darbosies kā apmācītāji vai kā apmācāmie. Vēršam uzmanību, ka gadījumā, ja sadarbības partneri šajās pamācībās darbosies kā apmācāmie, tad ir nepieciešams papildināt MK noteikumu projektu attiecībā uz atbalstu sadarbības partnerim, jo tāpat kā sadarbības tīklam, šis atbalsts kvalificētos kā komercdarbības atbalsts, kas jāsniedz saskaņā ar Komisijas regulu Nr. 1407/2013. Šādā gadījumā papildus lūdzam pārskatīt visu MK noteikumu projektu attiecībā uz tajā ietverto nosacījumu attiecināšanu arī uz sadarbības partneri.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Sarmīte Zakovska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Cita informācija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MK noteikumu ietvaros atbalstu plānots piešķir saskaņā ar Komisijas regulu Nr. 1407/2013 un tā neparedz prasību iesniegt Eiropas Komisijai kopsavilkuma informāciju, izmantojot Eiropas Komisijas elektroniskās paziņošanas sistēmu, lūdzam anotācijas 5.3. sadaļā dzēst informāciju: "Ekonomias ministrija, izmantojot  Eiropas Komisijas elektroniskās paziņošanas sistēmu,20 darbdienu laikā no atbalsta pasākuma stāšanās spēkā nosūtīs kopsavilkuma informāciju Regulas Nr. 651/2014 II pielikumā noteiktajā standartizētajā formātā par atbalsta pasākumu.".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Sarmīte Zakovska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Centrālās finanšu un līgumu aģentūrai izsludināt 2 kārtas projektu pieteikumu atlasi 2 mēnešus pēc šo noteikumu spēkā stāšanās.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nav zināms vērtēšanas kritēriju apstiprināšanas brīdis, lūdzu precizēt šo punktu, nosakot, ka otrās kārtas projektu iesniegumu atlasi izsludina divu mēnešu laikā pēc šo noteikumu spēkā stāšanās, bet ne agrāk kā pirms vērtēšanas kritēriju apstiprināšanas Uzraudzības komitejā.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Kvartenoka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sadarbības iestādes pienākumus pilda Centrālā finanšu un līgumu aģentūra (turpmāk –sadarbības iestāde).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šo apakšpunktu no noteikumu projekta, jo tas ir noteikts Eiropas Savienības fondu 2021.—2027. gada plānošanas perioda vadības likumā un nav nepieciešams dublēt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Fomčenkova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Pirmās kārtas ietvaros projekta iesnieguma iesniedzējs ir Latvijas Investīciju un attīstības aģentūra (turpmāk – aģentūra).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šajā punktā un visā noteikumu projektā precizēt terminoloģiju, nosakot, ka ir projekta iesniedzējs, nevis projekta iesnieguma iesniedzējs.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Morgana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Ja otrās kārtas ietvaros projekta iesniedzējs ir juridiska persona, kas pārstāv plānoto sadarbības tīklu, un iesniegtais projekta iesniegums tiek apstiprināts, tad plānotajiem sadarbības tīkla dalībniekiem ir pienākums 30 darbadienu laikā pēc projekta iesnieguma apstiprināšanas dibināt sadarbības tīklu, sadarbības tīklā iekļaujot tikai tās juridiskās personas, kas parakstījušas šo noteikumu </w:t>
            </w:r>
            <w:r w:rsidR="00000000" w:rsidRPr="00000000" w:rsidDel="00000000">
              <w:rPr>
                <w:rtl w:val="0"/>
              </w:rPr>
              <w:t xml:space="preserve">24.4.</w:t>
            </w:r>
            <w:r w:rsidR="00000000" w:rsidRPr="00000000" w:rsidDel="00000000">
              <w:rPr>
                <w:rtl w:val="0"/>
              </w:rPr>
              <w:t xml:space="preserve"> apakšpunktā minēto dokumentu. Ja projekta iesniedzējs šo prasību neizpilda, ar projekta iesniedzēju līgums netiek slēgts, un tiek apstiprināts nākamais projekta iesniegums, kas projektu iesniegumu atlases procesā ieguvis augstāko punktu skaitu, atbilstoši sadarbības tīkla veidam.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šis punkts nebūtu iekļaujams atlases nolikumā, nevis noteikumu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Morgana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Ja otrās kārtas ietvaros kādā no šo noteikumu </w:t>
            </w:r>
            <w:r w:rsidR="00000000" w:rsidRPr="00000000" w:rsidDel="00000000">
              <w:rPr>
                <w:rtl w:val="0"/>
              </w:rPr>
              <w:t xml:space="preserve">27.1.2.</w:t>
            </w:r>
            <w:r w:rsidR="00000000" w:rsidRPr="00000000" w:rsidDel="00000000">
              <w:rPr>
                <w:rtl w:val="0"/>
              </w:rPr>
              <w:t xml:space="preserve">, </w:t>
            </w:r>
            <w:r w:rsidR="00000000" w:rsidRPr="00000000" w:rsidDel="00000000">
              <w:rPr>
                <w:rtl w:val="0"/>
              </w:rPr>
              <w:t xml:space="preserve">27.2.2.</w:t>
            </w:r>
            <w:r w:rsidR="00000000" w:rsidRPr="00000000" w:rsidDel="00000000">
              <w:rPr>
                <w:rtl w:val="0"/>
              </w:rPr>
              <w:t xml:space="preserve">, </w:t>
            </w:r>
            <w:r w:rsidR="00000000" w:rsidRPr="00000000" w:rsidDel="00000000">
              <w:rPr>
                <w:rtl w:val="0"/>
              </w:rPr>
              <w:t xml:space="preserve">27.2.3.</w:t>
            </w:r>
            <w:r w:rsidR="00000000" w:rsidRPr="00000000" w:rsidDel="00000000">
              <w:rPr>
                <w:rtl w:val="0"/>
              </w:rPr>
              <w:t xml:space="preserve"> un </w:t>
            </w:r>
            <w:r w:rsidR="00000000" w:rsidRPr="00000000" w:rsidDel="00000000">
              <w:rPr>
                <w:rtl w:val="0"/>
              </w:rPr>
              <w:t xml:space="preserve">27.2.4.</w:t>
            </w:r>
            <w:r w:rsidR="00000000" w:rsidRPr="00000000" w:rsidDel="00000000">
              <w:rPr>
                <w:rtl w:val="0"/>
              </w:rPr>
              <w:t xml:space="preserve"> apakšpunktā minētajiem tūrisma veidiem tiek iesniegti vairāki projekta iesniegumi, tad tiek apstiprināts projekta iesniegums, kas projektu iesniegumu atlasē ieguvis augstāko punktu skaitu.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atsauce uz 27.1.2. apakšpunktu nav precizējama uz 27.2.1. apakšpunktu (šībrīža redakcija paredz, ka apstiprināmt tika iviens ģeogrāfiskā tīkla projekts).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Kvartenoka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36.3. nodokļi un nodevu maksājumi, izņemot šo noteikumu </w:t>
            </w:r>
            <w:r w:rsidR="00000000" w:rsidRPr="00000000" w:rsidDel="00000000">
              <w:rPr>
                <w:rtl w:val="0"/>
              </w:rPr>
              <w:t xml:space="preserve">36.1.</w:t>
            </w:r>
            <w:r w:rsidR="00000000" w:rsidRPr="00000000" w:rsidDel="00000000">
              <w:rPr>
                <w:rtl w:val="0"/>
              </w:rPr>
              <w:t xml:space="preserve"> un </w:t>
            </w:r>
            <w:r w:rsidR="00000000" w:rsidRPr="00000000" w:rsidDel="00000000">
              <w:rPr>
                <w:rtl w:val="0"/>
              </w:rPr>
              <w:t xml:space="preserve">36.4.</w:t>
            </w:r>
            <w:r w:rsidR="00000000" w:rsidRPr="00000000" w:rsidDel="00000000">
              <w:rPr>
                <w:rtl w:val="0"/>
              </w:rPr>
              <w:t xml:space="preserve"> apakšpunktos minētajos gadījumos un tūrisma nodevas;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atsauces - 36.1. un 36.4. apakšpunktos, uz kuriem atsauce norādīta šobrīd, ir ietverta norāde par neattiecināmām 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Kvartenoka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Sadarbības iestāde pirmās kārtas ietvaros aģentūrai izmaksājamo finansējuma apjomu nosaka pamatojoties uz attiecināmo izmaksu pamatojošiem dokumentiem, ievērojot normatīvo aktu prasības maksājumu un darījumu apliecinošo dokumentu izstrādāšanas un noformēšanas jomā.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šajā punktā un noteikumu projektā lietot terminoloģiju - finansējuma saņēmējs, nevis aģentūra, lai nodrošinātu uztveramību arī par funkciju nodalīšanu.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Morgana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 Otrās kārtas ietvaros finansējumu šo noteikumu </w:t>
            </w:r>
            <w:r w:rsidR="00000000" w:rsidRPr="00000000" w:rsidDel="00000000">
              <w:rPr>
                <w:rtl w:val="0"/>
              </w:rPr>
              <w:t xml:space="preserve">41.</w:t>
            </w:r>
            <w:r w:rsidR="00000000" w:rsidRPr="00000000" w:rsidDel="00000000">
              <w:rPr>
                <w:rtl w:val="0"/>
              </w:rPr>
              <w:t xml:space="preserve"> punktā minēto izmaksu segšanai sniedz saskaņā ar regulu Nr. 1407/2013 un normatīvajiem aktiem par de minimis atbalsta uzskaites un piešķiršanas kārtību un de minimis atbalsta uzskaites veidlapu paraugiem.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84.punktu skaidri definējot, kurš otrās kārtas ietvaros ir de minimis atbalsta sniedzējs un de minimis atbalsta saņēmējs.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Sarmīte Zakovska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1.3. sadaļā pie 5.punkta "Atbalstāmās darbības" precizēt, ka ierobežojums 364 800 EUR ir personāla atlīdzības 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Trizna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1.2.3.6. pasākuma pirmās kārtas ietvaros finansējums ir paredzēts Latvijas Investīciju un attīstības aģentūras izdevumu segšanai, lūdzam papildināt anotācijas 3.sadaļas 6.punktu ar informāciju par aģentūrai paredzēto kopējo finansējuma apmēru, tajā skaitā norādot finansējuma sadalījumu pa gadiem. Vienlaikus lūdzam papildināt 7.punktu ar informāciju, ka amata vietu uzturēšana tiks nodrošināta 1.2.3.6. pasākuma īstenošanai paredzētā finansējuma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 sadaļas 7. punktā norādīts, ka jāsniedz izvērsts pamatojums, izvērtējums par esošo resursu pārskatīšanas iespējām, t.sk. vakanto štata vietu, ilgstošo vakanču izmantošanu. Šobrīd sniegtās informācijas apjoms ir nepietiekams.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22-TA-2394</w:t>
    </w:r>
    <w:r>
      <w:br/>
    </w:r>
    <w:r w:rsidR="00000000" w:rsidRPr="00000000" w:rsidDel="00000000">
      <w:rPr>
        <w:rtl w:val="0"/>
      </w:rPr>
      <w:t xml:space="preserve">Izdrukāts 14.03.2023. 15.02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22-TA-2394</w:t>
    </w:r>
    <w:r>
      <w:br/>
    </w:r>
    <w:r w:rsidR="00000000" w:rsidRPr="00000000" w:rsidDel="00000000">
      <w:rPr>
        <w:rtl w:val="0"/>
      </w:rPr>
      <w:t xml:space="preserve">Izdrukāts 14.03.2023. 15.02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Atzinumi_22-TA-2394.docx</dc:title>
</cp:coreProperties>
</file>

<file path=docProps/custom.xml><?xml version="1.0" encoding="utf-8"?>
<Properties xmlns="http://schemas.openxmlformats.org/officeDocument/2006/custom-properties" xmlns:vt="http://schemas.openxmlformats.org/officeDocument/2006/docPropsVTypes"/>
</file>