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BF59" w14:textId="1A643FA9" w:rsidR="001E66C8" w:rsidRDefault="000F287A" w:rsidP="001E66C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lv-LV"/>
        </w:rPr>
      </w:pPr>
      <w:r>
        <w:rPr>
          <w:rFonts w:ascii="Verdana" w:eastAsia="Times New Roman" w:hAnsi="Verdana"/>
          <w:sz w:val="20"/>
          <w:szCs w:val="20"/>
          <w:lang w:eastAsia="lv-LV"/>
        </w:rPr>
        <w:t>Veselības ministrija</w:t>
      </w:r>
    </w:p>
    <w:p w14:paraId="1C704719" w14:textId="77777777" w:rsidR="000F287A" w:rsidRDefault="000F287A" w:rsidP="001E66C8">
      <w:pPr>
        <w:spacing w:after="0" w:line="240" w:lineRule="auto"/>
        <w:jc w:val="right"/>
        <w:rPr>
          <w:rFonts w:ascii="Verdana" w:eastAsia="Times New Roman" w:hAnsi="Verdana"/>
          <w:bCs/>
          <w:sz w:val="20"/>
          <w:szCs w:val="20"/>
          <w:lang w:eastAsia="lv-LV"/>
        </w:rPr>
      </w:pPr>
      <w:r w:rsidRPr="000F287A">
        <w:rPr>
          <w:rFonts w:ascii="Verdana" w:eastAsia="Times New Roman" w:hAnsi="Verdana"/>
          <w:bCs/>
          <w:sz w:val="20"/>
          <w:szCs w:val="20"/>
          <w:lang w:eastAsia="lv-LV"/>
        </w:rPr>
        <w:t>Brīvības iela 72</w:t>
      </w:r>
    </w:p>
    <w:p w14:paraId="3B29CF9F" w14:textId="70E1AB29" w:rsidR="000F287A" w:rsidRPr="006A513B" w:rsidRDefault="000F287A" w:rsidP="001E66C8">
      <w:pPr>
        <w:spacing w:after="0" w:line="240" w:lineRule="auto"/>
        <w:jc w:val="right"/>
        <w:rPr>
          <w:rFonts w:ascii="Verdana" w:eastAsia="Times New Roman" w:hAnsi="Verdana"/>
          <w:bCs/>
          <w:sz w:val="20"/>
          <w:szCs w:val="20"/>
          <w:lang w:eastAsia="lv-LV"/>
        </w:rPr>
      </w:pPr>
      <w:r w:rsidRPr="000F287A">
        <w:rPr>
          <w:rFonts w:ascii="Verdana" w:eastAsia="Times New Roman" w:hAnsi="Verdana"/>
          <w:bCs/>
          <w:sz w:val="20"/>
          <w:szCs w:val="20"/>
          <w:lang w:eastAsia="lv-LV"/>
        </w:rPr>
        <w:t>Rīga, LV-1011</w:t>
      </w:r>
    </w:p>
    <w:p w14:paraId="08AFBF5A" w14:textId="77777777" w:rsidR="001E66C8" w:rsidRPr="006A513B" w:rsidRDefault="001E66C8" w:rsidP="001E66C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lv-LV"/>
        </w:rPr>
      </w:pPr>
    </w:p>
    <w:p w14:paraId="08AFBF5B" w14:textId="77777777" w:rsidR="001E66C8" w:rsidRPr="00EE18EF" w:rsidRDefault="001E66C8" w:rsidP="001E66C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lv-LV"/>
        </w:rPr>
      </w:pPr>
    </w:p>
    <w:p w14:paraId="08AFBF5C" w14:textId="52FB3FFF" w:rsidR="001E66C8" w:rsidRPr="00EE18EF" w:rsidRDefault="001E66C8" w:rsidP="00412248">
      <w:pPr>
        <w:spacing w:after="0" w:line="240" w:lineRule="auto"/>
        <w:rPr>
          <w:rFonts w:ascii="Verdana" w:eastAsia="Times New Roman" w:hAnsi="Verdana"/>
          <w:sz w:val="20"/>
          <w:szCs w:val="20"/>
          <w:lang w:eastAsia="lv-LV"/>
        </w:rPr>
      </w:pPr>
      <w:r w:rsidRPr="00EE18EF">
        <w:rPr>
          <w:rFonts w:ascii="Verdana" w:eastAsia="Times New Roman" w:hAnsi="Verdana"/>
          <w:sz w:val="20"/>
          <w:szCs w:val="20"/>
          <w:lang w:eastAsia="lv-LV"/>
        </w:rPr>
        <w:t xml:space="preserve">Rīgā, </w:t>
      </w:r>
      <w:r w:rsidR="000F287A" w:rsidRPr="00EE18EF">
        <w:rPr>
          <w:rFonts w:ascii="Verdana" w:eastAsia="Times New Roman" w:hAnsi="Verdana"/>
          <w:sz w:val="20"/>
          <w:szCs w:val="20"/>
          <w:lang w:eastAsia="lv-LV"/>
        </w:rPr>
        <w:t>2022</w:t>
      </w:r>
      <w:r w:rsidRPr="00EE18EF">
        <w:rPr>
          <w:rFonts w:ascii="Verdana" w:eastAsia="Times New Roman" w:hAnsi="Verdana"/>
          <w:sz w:val="20"/>
          <w:szCs w:val="20"/>
          <w:lang w:eastAsia="lv-LV"/>
        </w:rPr>
        <w:t xml:space="preserve">. gada </w:t>
      </w:r>
      <w:r w:rsidR="000F287A" w:rsidRPr="00EE18EF">
        <w:rPr>
          <w:rFonts w:ascii="Verdana" w:eastAsia="Times New Roman" w:hAnsi="Verdana"/>
          <w:sz w:val="20"/>
          <w:szCs w:val="20"/>
          <w:lang w:eastAsia="lv-LV"/>
        </w:rPr>
        <w:t>11</w:t>
      </w:r>
      <w:r w:rsidRPr="00EE18EF">
        <w:rPr>
          <w:rFonts w:ascii="Verdana" w:eastAsia="Times New Roman" w:hAnsi="Verdana"/>
          <w:sz w:val="20"/>
          <w:szCs w:val="20"/>
          <w:lang w:eastAsia="lv-LV"/>
        </w:rPr>
        <w:t xml:space="preserve">. </w:t>
      </w:r>
      <w:r w:rsidR="000F287A" w:rsidRPr="00EE18EF">
        <w:rPr>
          <w:rFonts w:ascii="Verdana" w:eastAsia="Times New Roman" w:hAnsi="Verdana"/>
          <w:sz w:val="20"/>
          <w:szCs w:val="20"/>
          <w:lang w:eastAsia="lv-LV"/>
        </w:rPr>
        <w:t>martā</w:t>
      </w:r>
    </w:p>
    <w:p w14:paraId="08AFBF5D" w14:textId="77777777" w:rsidR="001E66C8" w:rsidRPr="00EE18EF" w:rsidRDefault="001E66C8" w:rsidP="001E66C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lv-LV"/>
        </w:rPr>
      </w:pPr>
    </w:p>
    <w:p w14:paraId="08AFBF5E" w14:textId="77777777" w:rsidR="001E66C8" w:rsidRPr="00EE18EF" w:rsidRDefault="001E66C8" w:rsidP="001E66C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lv-LV"/>
        </w:rPr>
      </w:pPr>
    </w:p>
    <w:p w14:paraId="08AFBF60" w14:textId="1D3C8879" w:rsidR="001E66C8" w:rsidRPr="00EE18EF" w:rsidRDefault="000F287A" w:rsidP="006F520F">
      <w:pPr>
        <w:spacing w:after="0"/>
        <w:jc w:val="both"/>
        <w:rPr>
          <w:rFonts w:ascii="Verdana" w:eastAsia="Times New Roman" w:hAnsi="Verdana"/>
          <w:sz w:val="20"/>
          <w:szCs w:val="20"/>
          <w:lang w:eastAsia="lv-LV"/>
        </w:rPr>
      </w:pPr>
      <w:r w:rsidRPr="00EE18EF">
        <w:rPr>
          <w:rFonts w:ascii="Verdana" w:eastAsia="Times New Roman" w:hAnsi="Verdana"/>
          <w:b/>
          <w:sz w:val="20"/>
          <w:szCs w:val="20"/>
          <w:lang w:eastAsia="lv-LV"/>
        </w:rPr>
        <w:t>Par precizēto Sabiedrības veselības pamatnostādņu projektu 2021.-2027. gadam (2021-TA-1693)</w:t>
      </w:r>
    </w:p>
    <w:p w14:paraId="08AFBF61" w14:textId="77777777" w:rsidR="001E66C8" w:rsidRPr="00EE18EF" w:rsidRDefault="001E66C8" w:rsidP="006F520F">
      <w:pPr>
        <w:spacing w:after="0"/>
        <w:jc w:val="both"/>
        <w:rPr>
          <w:rFonts w:ascii="Verdana" w:eastAsia="Times New Roman" w:hAnsi="Verdana"/>
          <w:sz w:val="20"/>
          <w:szCs w:val="20"/>
          <w:lang w:eastAsia="lv-LV"/>
        </w:rPr>
      </w:pPr>
    </w:p>
    <w:p w14:paraId="7A1F3A33" w14:textId="581152BE" w:rsidR="009F66CE" w:rsidRPr="00EE18EF" w:rsidRDefault="000F287A" w:rsidP="009F66CE">
      <w:pPr>
        <w:jc w:val="both"/>
        <w:rPr>
          <w:rFonts w:ascii="Verdana" w:hAnsi="Verdana"/>
          <w:sz w:val="20"/>
          <w:szCs w:val="20"/>
        </w:rPr>
      </w:pPr>
      <w:r w:rsidRPr="00EE18EF">
        <w:rPr>
          <w:rFonts w:ascii="Verdana" w:hAnsi="Verdana"/>
          <w:sz w:val="20"/>
          <w:szCs w:val="20"/>
        </w:rPr>
        <w:t>Biofarmaceitisko Zaļu  ražotāju asociācija (</w:t>
      </w:r>
      <w:r w:rsidR="009F66CE" w:rsidRPr="00EE18EF">
        <w:rPr>
          <w:rFonts w:ascii="Verdana" w:hAnsi="Verdana"/>
          <w:sz w:val="20"/>
          <w:szCs w:val="20"/>
        </w:rPr>
        <w:t xml:space="preserve">turpmāk - </w:t>
      </w:r>
      <w:r w:rsidRPr="00EE18EF">
        <w:rPr>
          <w:rFonts w:ascii="Verdana" w:hAnsi="Verdana"/>
          <w:sz w:val="20"/>
          <w:szCs w:val="20"/>
        </w:rPr>
        <w:t>BRAL) i</w:t>
      </w:r>
      <w:r w:rsidR="009F66CE" w:rsidRPr="00EE18EF">
        <w:rPr>
          <w:rFonts w:ascii="Verdana" w:hAnsi="Verdana"/>
          <w:sz w:val="20"/>
          <w:szCs w:val="20"/>
        </w:rPr>
        <w:t>r iepazinusies ar precizēto Sabiedrības veselības pamatnostādņu projektu 2021.-2027. gadam (turpmāk - Pamatnostādnes), un vēlas izteikt pateicību Veselības ministrijai par veikto darbu. BRAL atbalsta Pamatnostādņu virzību, vienlaicīgi varēšot uzmanību uz dažiem būtiskiem ar ilgtermiņa finansējumu saistītiem aspektiem.</w:t>
      </w:r>
    </w:p>
    <w:p w14:paraId="434F7AA0" w14:textId="07A67266" w:rsidR="009F66CE" w:rsidRPr="00EE18EF" w:rsidRDefault="00713C8A" w:rsidP="009F66C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F66CE" w:rsidRPr="00EE18EF">
        <w:rPr>
          <w:rFonts w:ascii="Verdana" w:hAnsi="Verdana"/>
          <w:sz w:val="20"/>
          <w:szCs w:val="20"/>
        </w:rPr>
        <w:t>tbalstām Veselības ministrijas priekšlikum</w:t>
      </w:r>
      <w:r>
        <w:rPr>
          <w:rFonts w:ascii="Verdana" w:hAnsi="Verdana"/>
          <w:sz w:val="20"/>
          <w:szCs w:val="20"/>
        </w:rPr>
        <w:t>u</w:t>
      </w:r>
      <w:r w:rsidR="009F66CE" w:rsidRPr="00EE18EF">
        <w:rPr>
          <w:rFonts w:ascii="Verdana" w:hAnsi="Verdana"/>
          <w:sz w:val="20"/>
          <w:szCs w:val="20"/>
        </w:rPr>
        <w:t xml:space="preserve"> par augstāk</w:t>
      </w:r>
      <w:r w:rsidR="00EE18EF" w:rsidRPr="00EE18EF">
        <w:rPr>
          <w:rFonts w:ascii="Verdana" w:hAnsi="Verdana"/>
          <w:sz w:val="20"/>
          <w:szCs w:val="20"/>
        </w:rPr>
        <w:t>u</w:t>
      </w:r>
      <w:r w:rsidR="009F66CE" w:rsidRPr="00EE18EF">
        <w:rPr>
          <w:rFonts w:ascii="Verdana" w:hAnsi="Verdana"/>
          <w:sz w:val="20"/>
          <w:szCs w:val="20"/>
        </w:rPr>
        <w:t xml:space="preserve"> finansējuma piešķīrumu </w:t>
      </w:r>
      <w:r w:rsidR="00EE18EF" w:rsidRPr="00EE18EF">
        <w:rPr>
          <w:rFonts w:ascii="Verdana" w:hAnsi="Verdana"/>
          <w:sz w:val="20"/>
          <w:szCs w:val="20"/>
        </w:rPr>
        <w:t xml:space="preserve">veselības aprūpei </w:t>
      </w:r>
      <w:r w:rsidR="009F66CE" w:rsidRPr="00EE18EF">
        <w:rPr>
          <w:rFonts w:ascii="Verdana" w:hAnsi="Verdana"/>
          <w:sz w:val="20"/>
          <w:szCs w:val="20"/>
        </w:rPr>
        <w:t xml:space="preserve">kā </w:t>
      </w:r>
      <w:r w:rsidR="00EE18EF" w:rsidRPr="00EE18EF">
        <w:rPr>
          <w:rFonts w:ascii="Verdana" w:hAnsi="Verdana"/>
          <w:sz w:val="20"/>
          <w:szCs w:val="20"/>
        </w:rPr>
        <w:t>6</w:t>
      </w:r>
      <w:r w:rsidR="00160086">
        <w:rPr>
          <w:rFonts w:ascii="Verdana" w:hAnsi="Verdana"/>
          <w:sz w:val="20"/>
          <w:szCs w:val="20"/>
        </w:rPr>
        <w:t>%</w:t>
      </w:r>
      <w:r w:rsidR="009F66CE" w:rsidRPr="00EE18EF">
        <w:rPr>
          <w:rFonts w:ascii="Verdana" w:hAnsi="Verdana"/>
          <w:sz w:val="20"/>
          <w:szCs w:val="20"/>
        </w:rPr>
        <w:t xml:space="preserve"> no IKP</w:t>
      </w:r>
      <w:r w:rsidR="009474B6">
        <w:rPr>
          <w:rFonts w:ascii="Verdana" w:hAnsi="Verdana"/>
          <w:sz w:val="20"/>
          <w:szCs w:val="20"/>
        </w:rPr>
        <w:t>.</w:t>
      </w:r>
      <w:r w:rsidR="009F66CE" w:rsidRPr="00EE18EF">
        <w:rPr>
          <w:rFonts w:ascii="Verdana" w:hAnsi="Verdana"/>
          <w:sz w:val="20"/>
          <w:szCs w:val="20"/>
        </w:rPr>
        <w:t xml:space="preserve"> </w:t>
      </w:r>
      <w:r w:rsidR="009474B6">
        <w:rPr>
          <w:rFonts w:ascii="Verdana" w:hAnsi="Verdana"/>
          <w:sz w:val="20"/>
          <w:szCs w:val="20"/>
        </w:rPr>
        <w:t>V</w:t>
      </w:r>
      <w:r w:rsidR="00EE18EF" w:rsidRPr="00EE18EF">
        <w:rPr>
          <w:rFonts w:ascii="Verdana" w:hAnsi="Verdana"/>
          <w:sz w:val="20"/>
          <w:szCs w:val="20"/>
        </w:rPr>
        <w:t>ienlaicīgi</w:t>
      </w:r>
      <w:r w:rsidR="009F66CE" w:rsidRPr="00EE18EF">
        <w:rPr>
          <w:rFonts w:ascii="Verdana" w:hAnsi="Verdana"/>
          <w:sz w:val="20"/>
          <w:szCs w:val="20"/>
        </w:rPr>
        <w:t xml:space="preserve"> </w:t>
      </w:r>
      <w:r w:rsidR="009474B6">
        <w:rPr>
          <w:rFonts w:ascii="Verdana" w:hAnsi="Verdana"/>
          <w:sz w:val="20"/>
          <w:szCs w:val="20"/>
        </w:rPr>
        <w:t>vēršam jūsu uzmanību uz to</w:t>
      </w:r>
      <w:r w:rsidR="009F66CE" w:rsidRPr="00EE18EF">
        <w:rPr>
          <w:rFonts w:ascii="Verdana" w:hAnsi="Verdana"/>
          <w:sz w:val="20"/>
          <w:szCs w:val="20"/>
        </w:rPr>
        <w:t xml:space="preserve">, ka Pamatnostādnēs iezīmētais veselības aprūpes finansējums līdz 2027.gadam ievērojami atpaliek no faktiskā vidējā Eiropas Savienības </w:t>
      </w:r>
      <w:r w:rsidR="00EE18EF" w:rsidRPr="00EE18EF">
        <w:rPr>
          <w:rFonts w:ascii="Verdana" w:hAnsi="Verdana"/>
          <w:sz w:val="20"/>
          <w:szCs w:val="20"/>
        </w:rPr>
        <w:t>veselības aprūpes finansējuma kāpuma tempa</w:t>
      </w:r>
      <w:r w:rsidR="009F66CE" w:rsidRPr="00EE18EF">
        <w:rPr>
          <w:rFonts w:ascii="Verdana" w:hAnsi="Verdana"/>
          <w:sz w:val="20"/>
          <w:szCs w:val="20"/>
        </w:rPr>
        <w:t xml:space="preserve"> (2019.gadā </w:t>
      </w:r>
      <w:r w:rsidR="00EE18EF" w:rsidRPr="00EE18EF">
        <w:rPr>
          <w:rFonts w:ascii="Verdana" w:hAnsi="Verdana"/>
          <w:sz w:val="20"/>
          <w:szCs w:val="20"/>
        </w:rPr>
        <w:t>ES vidējais valsts finansējums</w:t>
      </w:r>
      <w:r w:rsidR="009F66CE" w:rsidRPr="00EE18EF">
        <w:rPr>
          <w:rFonts w:ascii="Verdana" w:hAnsi="Verdana"/>
          <w:sz w:val="20"/>
          <w:szCs w:val="20"/>
        </w:rPr>
        <w:t xml:space="preserve"> </w:t>
      </w:r>
      <w:r w:rsidR="00EE18EF" w:rsidRPr="00EE18EF">
        <w:rPr>
          <w:rFonts w:ascii="Verdana" w:hAnsi="Verdana"/>
          <w:sz w:val="20"/>
          <w:szCs w:val="20"/>
        </w:rPr>
        <w:t>veselības aprūpei sastādīja 6,1%</w:t>
      </w:r>
      <w:r w:rsidR="009F66CE" w:rsidRPr="00EE18EF">
        <w:rPr>
          <w:rFonts w:ascii="Verdana" w:hAnsi="Verdana"/>
          <w:sz w:val="20"/>
          <w:szCs w:val="20"/>
        </w:rPr>
        <w:t xml:space="preserve"> no IKP)</w:t>
      </w:r>
      <w:r w:rsidR="009F66CE" w:rsidRPr="00EE18EF">
        <w:rPr>
          <w:rStyle w:val="FootnoteReference"/>
          <w:rFonts w:ascii="Verdana" w:hAnsi="Verdana"/>
          <w:sz w:val="20"/>
          <w:szCs w:val="20"/>
        </w:rPr>
        <w:footnoteReference w:id="1"/>
      </w:r>
      <w:r w:rsidR="00EE18EF" w:rsidRPr="00EE18EF">
        <w:rPr>
          <w:rFonts w:ascii="Verdana" w:hAnsi="Verdana"/>
          <w:sz w:val="20"/>
          <w:szCs w:val="20"/>
        </w:rPr>
        <w:t>.</w:t>
      </w:r>
      <w:r w:rsidR="009F66CE" w:rsidRPr="00EE18EF">
        <w:rPr>
          <w:rFonts w:ascii="Verdana" w:hAnsi="Verdana"/>
          <w:sz w:val="20"/>
          <w:szCs w:val="20"/>
        </w:rPr>
        <w:t xml:space="preserve"> </w:t>
      </w:r>
      <w:r w:rsidR="00EE18EF" w:rsidRPr="00EE18EF">
        <w:rPr>
          <w:rFonts w:ascii="Verdana" w:hAnsi="Verdana"/>
          <w:sz w:val="20"/>
          <w:szCs w:val="20"/>
        </w:rPr>
        <w:t xml:space="preserve">Tas nozīmē, ka tikai </w:t>
      </w:r>
      <w:r w:rsidR="009F66CE" w:rsidRPr="00EE18EF">
        <w:rPr>
          <w:rFonts w:ascii="Verdana" w:hAnsi="Verdana"/>
          <w:sz w:val="20"/>
          <w:szCs w:val="20"/>
        </w:rPr>
        <w:t xml:space="preserve">2027.gadā Latvija </w:t>
      </w:r>
      <w:r w:rsidR="00EE18EF" w:rsidRPr="00EE18EF">
        <w:rPr>
          <w:rFonts w:ascii="Verdana" w:hAnsi="Verdana"/>
          <w:sz w:val="20"/>
          <w:szCs w:val="20"/>
        </w:rPr>
        <w:t>sasniegs</w:t>
      </w:r>
      <w:r w:rsidR="009F66CE" w:rsidRPr="00EE18EF">
        <w:rPr>
          <w:rFonts w:ascii="Verdana" w:hAnsi="Verdana"/>
          <w:sz w:val="20"/>
          <w:szCs w:val="20"/>
        </w:rPr>
        <w:t xml:space="preserve"> 2019.gada ES vidējo izdevumu līmeni veselības aprūpei, </w:t>
      </w:r>
      <w:r w:rsidR="00EE18EF" w:rsidRPr="00EE18EF">
        <w:rPr>
          <w:rFonts w:ascii="Verdana" w:hAnsi="Verdana"/>
          <w:sz w:val="20"/>
          <w:szCs w:val="20"/>
        </w:rPr>
        <w:t>veidojot gandrīz 10 gadu plaisu veselības aprūpes saņemšanai ES vidējā līmenī.</w:t>
      </w:r>
      <w:r w:rsidR="009F66CE" w:rsidRPr="00EE18EF">
        <w:rPr>
          <w:rFonts w:ascii="Verdana" w:hAnsi="Verdana"/>
          <w:sz w:val="20"/>
          <w:szCs w:val="20"/>
        </w:rPr>
        <w:t xml:space="preserve"> </w:t>
      </w:r>
      <w:r w:rsidR="00EE18EF" w:rsidRPr="00EE18EF">
        <w:rPr>
          <w:rFonts w:ascii="Verdana" w:hAnsi="Verdana"/>
          <w:sz w:val="20"/>
          <w:szCs w:val="20"/>
        </w:rPr>
        <w:t>Līdz ar to aicinām Veselības ministriju tiekties uz ilgtspējīgu finansējuma palielinājumu, kas veidotu valsts finansējumu vismaz 8% ap</w:t>
      </w:r>
      <w:r w:rsidR="00160086">
        <w:rPr>
          <w:rFonts w:ascii="Verdana" w:hAnsi="Verdana"/>
          <w:sz w:val="20"/>
          <w:szCs w:val="20"/>
        </w:rPr>
        <w:t>m</w:t>
      </w:r>
      <w:r w:rsidR="00EE18EF" w:rsidRPr="00EE18EF">
        <w:rPr>
          <w:rFonts w:ascii="Verdana" w:hAnsi="Verdana"/>
          <w:sz w:val="20"/>
          <w:szCs w:val="20"/>
        </w:rPr>
        <w:t>ērā no IKP, un ļautu mazināt nevienlīdzību starp Latvijas un Eiropas Savienības pacientiem.</w:t>
      </w:r>
    </w:p>
    <w:p w14:paraId="2363989C" w14:textId="771FBFC4" w:rsidR="00EE18EF" w:rsidRPr="00E06214" w:rsidRDefault="0087638F" w:rsidP="009F66C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E18EF" w:rsidRPr="00E06214">
        <w:rPr>
          <w:rFonts w:ascii="Verdana" w:hAnsi="Verdana"/>
          <w:sz w:val="20"/>
          <w:szCs w:val="20"/>
        </w:rPr>
        <w:t xml:space="preserve">recizētajā Pamatnostādņu projektā ir svītrots rezultatīvais rādītājs </w:t>
      </w:r>
      <w:r w:rsidR="00EE18EF" w:rsidRPr="00E06214">
        <w:rPr>
          <w:rFonts w:ascii="Verdana" w:hAnsi="Verdana"/>
          <w:b/>
          <w:bCs/>
          <w:i/>
          <w:iCs/>
          <w:sz w:val="20"/>
          <w:szCs w:val="20"/>
        </w:rPr>
        <w:t>18.2. Valsts budžeta izdevumi zālēm un medicīnas ierīcēm uz 1 iedzīvotāju, EUR</w:t>
      </w:r>
      <w:r w:rsidR="00EE18EF" w:rsidRPr="00E06214">
        <w:rPr>
          <w:rFonts w:ascii="Verdana" w:hAnsi="Verdana"/>
          <w:sz w:val="20"/>
          <w:szCs w:val="20"/>
        </w:rPr>
        <w:t>.</w:t>
      </w:r>
      <w:r w:rsidR="00E06214" w:rsidRPr="00E06214">
        <w:rPr>
          <w:rFonts w:ascii="Verdana" w:hAnsi="Verdana"/>
          <w:sz w:val="20"/>
          <w:szCs w:val="20"/>
        </w:rPr>
        <w:t xml:space="preserve"> BRAL uzskata, ka šis ir būtisks veselības aprūpes sistēmas finansēšanas indikators</w:t>
      </w:r>
      <w:r w:rsidR="00E06214">
        <w:rPr>
          <w:rFonts w:ascii="Verdana" w:hAnsi="Verdana"/>
          <w:sz w:val="20"/>
          <w:szCs w:val="20"/>
        </w:rPr>
        <w:t>, ko analizē gan Eurostat</w:t>
      </w:r>
      <w:r w:rsidR="00B30B5B">
        <w:rPr>
          <w:rFonts w:ascii="Verdana" w:hAnsi="Verdana"/>
          <w:sz w:val="20"/>
          <w:szCs w:val="20"/>
          <w:vertAlign w:val="superscript"/>
        </w:rPr>
        <w:t>1</w:t>
      </w:r>
      <w:r w:rsidR="00E06214">
        <w:rPr>
          <w:rFonts w:ascii="Verdana" w:hAnsi="Verdana"/>
          <w:sz w:val="20"/>
          <w:szCs w:val="20"/>
        </w:rPr>
        <w:t>, gan PVO</w:t>
      </w:r>
      <w:r w:rsidR="00B30B5B">
        <w:rPr>
          <w:rStyle w:val="FootnoteReference"/>
          <w:rFonts w:ascii="Verdana" w:hAnsi="Verdana"/>
          <w:sz w:val="20"/>
          <w:szCs w:val="20"/>
        </w:rPr>
        <w:footnoteReference w:id="2"/>
      </w:r>
      <w:r w:rsidR="00E06214">
        <w:rPr>
          <w:rFonts w:ascii="Verdana" w:hAnsi="Verdana"/>
          <w:sz w:val="20"/>
          <w:szCs w:val="20"/>
        </w:rPr>
        <w:t>, gan OECD</w:t>
      </w:r>
      <w:r w:rsidR="00B30B5B">
        <w:rPr>
          <w:rStyle w:val="FootnoteReference"/>
          <w:rFonts w:ascii="Verdana" w:hAnsi="Verdana"/>
          <w:sz w:val="20"/>
          <w:szCs w:val="20"/>
        </w:rPr>
        <w:footnoteReference w:id="3"/>
      </w:r>
      <w:r w:rsidR="00E0621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kā arī veselības aprūpes politikas plānošanā plaši izmanto citas ES valstis. Šis rādītājs</w:t>
      </w:r>
      <w:r w:rsidR="00E06214">
        <w:rPr>
          <w:rFonts w:ascii="Verdana" w:hAnsi="Verdana"/>
          <w:sz w:val="20"/>
          <w:szCs w:val="20"/>
        </w:rPr>
        <w:t xml:space="preserve"> norāda uz</w:t>
      </w:r>
      <w:r w:rsidR="00EE18EF" w:rsidRPr="00E06214">
        <w:rPr>
          <w:rFonts w:ascii="Verdana" w:hAnsi="Verdana"/>
          <w:sz w:val="20"/>
          <w:szCs w:val="20"/>
        </w:rPr>
        <w:t xml:space="preserve">  </w:t>
      </w:r>
      <w:r w:rsidR="00E06214" w:rsidRPr="00E06214">
        <w:rPr>
          <w:rFonts w:ascii="Verdana" w:hAnsi="Verdana"/>
          <w:sz w:val="20"/>
          <w:szCs w:val="20"/>
        </w:rPr>
        <w:t>nepieciešamajām investīcijām dzīvības funkciju un dzīves kvalitātes hroniskiem pacientiem nodrošināšanā.</w:t>
      </w:r>
      <w:r w:rsidR="00E06214">
        <w:rPr>
          <w:rFonts w:ascii="Verdana" w:hAnsi="Verdana"/>
          <w:sz w:val="20"/>
          <w:szCs w:val="20"/>
        </w:rPr>
        <w:t xml:space="preserve"> Vienlaicīgi punkts </w:t>
      </w:r>
      <w:r w:rsidR="00E06214" w:rsidRPr="00E06214">
        <w:rPr>
          <w:rFonts w:ascii="Verdana" w:hAnsi="Verdana"/>
          <w:b/>
          <w:bCs/>
          <w:i/>
          <w:iCs/>
          <w:sz w:val="20"/>
          <w:szCs w:val="20"/>
        </w:rPr>
        <w:t>3.1.4.Uzlabot kompensējamo zāļu un medicīnas ierīču pieejamību</w:t>
      </w:r>
      <w:r w:rsidR="00E06214">
        <w:rPr>
          <w:rFonts w:ascii="Verdana" w:hAnsi="Verdana"/>
          <w:sz w:val="20"/>
          <w:szCs w:val="20"/>
        </w:rPr>
        <w:t xml:space="preserve"> nav izdalīts atsevišķi</w:t>
      </w:r>
      <w:r>
        <w:rPr>
          <w:rFonts w:ascii="Verdana" w:hAnsi="Verdana"/>
          <w:sz w:val="20"/>
          <w:szCs w:val="20"/>
        </w:rPr>
        <w:t xml:space="preserve"> (Pamatnostādņu 5.pielikums)</w:t>
      </w:r>
      <w:r w:rsidR="00E06214">
        <w:rPr>
          <w:rFonts w:ascii="Verdana" w:hAnsi="Verdana"/>
          <w:sz w:val="20"/>
          <w:szCs w:val="20"/>
        </w:rPr>
        <w:t xml:space="preserve">, kā tas bija Pamatnostādņu 2021.gada februāra projektā vai 2014.-2020.gada Pamatnostādnēs, bet gan apvienots kopā ar zobārstniecības, stacionāro un ambulatoro pakalpojumu pieejamības uzlabošanu (punkts 3.1.1. – 3.1.3.), tādējādi Pamatnostādnēs trūkst skaidrs un </w:t>
      </w:r>
      <w:r w:rsidR="00E66441">
        <w:rPr>
          <w:rFonts w:ascii="Verdana" w:hAnsi="Verdana"/>
          <w:sz w:val="20"/>
          <w:szCs w:val="20"/>
        </w:rPr>
        <w:t>izmērāms</w:t>
      </w:r>
      <w:r w:rsidR="00E06214">
        <w:rPr>
          <w:rFonts w:ascii="Verdana" w:hAnsi="Verdana"/>
          <w:sz w:val="20"/>
          <w:szCs w:val="20"/>
        </w:rPr>
        <w:t xml:space="preserve"> kritērijs un politika attiecībā uz būtisku pacientu ārstēšanas posmu, kas ir saistīts ar kompensējamo medikamentu nodrošinājumu, īpaši hroniskiem pacientiem un mazai</w:t>
      </w:r>
      <w:r w:rsidR="00E66441">
        <w:rPr>
          <w:rFonts w:ascii="Verdana" w:hAnsi="Verdana"/>
          <w:sz w:val="20"/>
          <w:szCs w:val="20"/>
        </w:rPr>
        <w:t>z</w:t>
      </w:r>
      <w:r w:rsidR="00E06214">
        <w:rPr>
          <w:rFonts w:ascii="Verdana" w:hAnsi="Verdana"/>
          <w:sz w:val="20"/>
          <w:szCs w:val="20"/>
        </w:rPr>
        <w:t>s</w:t>
      </w:r>
      <w:r w:rsidR="00160086">
        <w:rPr>
          <w:rFonts w:ascii="Verdana" w:hAnsi="Verdana"/>
          <w:sz w:val="20"/>
          <w:szCs w:val="20"/>
        </w:rPr>
        <w:t>a</w:t>
      </w:r>
      <w:r w:rsidR="00E06214">
        <w:rPr>
          <w:rFonts w:ascii="Verdana" w:hAnsi="Verdana"/>
          <w:sz w:val="20"/>
          <w:szCs w:val="20"/>
        </w:rPr>
        <w:t xml:space="preserve">rgātām </w:t>
      </w:r>
      <w:r w:rsidR="00E66441">
        <w:rPr>
          <w:rFonts w:ascii="Verdana" w:hAnsi="Verdana"/>
          <w:sz w:val="20"/>
          <w:szCs w:val="20"/>
        </w:rPr>
        <w:t>pacientu grupām</w:t>
      </w:r>
      <w:r w:rsidR="00E0621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D8255B">
        <w:rPr>
          <w:rFonts w:ascii="Verdana" w:hAnsi="Verdana"/>
          <w:sz w:val="20"/>
          <w:szCs w:val="20"/>
        </w:rPr>
        <w:t>Zāļu</w:t>
      </w:r>
      <w:r>
        <w:rPr>
          <w:rFonts w:ascii="Verdana" w:hAnsi="Verdana"/>
          <w:sz w:val="20"/>
          <w:szCs w:val="20"/>
        </w:rPr>
        <w:t xml:space="preserve"> finansējum</w:t>
      </w:r>
      <w:r w:rsidR="00D8255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Latvij</w:t>
      </w:r>
      <w:r w:rsidR="00D8255B">
        <w:rPr>
          <w:rFonts w:ascii="Verdana" w:hAnsi="Verdana"/>
          <w:sz w:val="20"/>
          <w:szCs w:val="20"/>
        </w:rPr>
        <w:t>ā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lastRenderedPageBreak/>
        <w:t>būtiski atpaliek no kaimiņvalstīm</w:t>
      </w:r>
      <w:r w:rsidR="00D8255B">
        <w:rPr>
          <w:rFonts w:ascii="Verdana" w:hAnsi="Verdana"/>
          <w:sz w:val="20"/>
          <w:szCs w:val="20"/>
        </w:rPr>
        <w:t xml:space="preserve"> – Igaunijas un Lietuvas, </w:t>
      </w:r>
      <w:r>
        <w:rPr>
          <w:rFonts w:ascii="Verdana" w:hAnsi="Verdana"/>
          <w:sz w:val="20"/>
          <w:szCs w:val="20"/>
        </w:rPr>
        <w:t xml:space="preserve">kur paredzētais finansējums </w:t>
      </w:r>
      <w:r w:rsidR="00D8255B">
        <w:rPr>
          <w:rFonts w:ascii="Verdana" w:hAnsi="Verdana"/>
          <w:sz w:val="20"/>
          <w:szCs w:val="20"/>
        </w:rPr>
        <w:t xml:space="preserve">tikai </w:t>
      </w:r>
      <w:r>
        <w:rPr>
          <w:rFonts w:ascii="Verdana" w:hAnsi="Verdana"/>
          <w:sz w:val="20"/>
          <w:szCs w:val="20"/>
        </w:rPr>
        <w:t>kompensējamo zāļu iegādei 2022.gadā sastāda 2</w:t>
      </w:r>
      <w:r w:rsidR="00D8255B">
        <w:rPr>
          <w:rFonts w:ascii="Verdana" w:hAnsi="Verdana"/>
          <w:sz w:val="20"/>
          <w:szCs w:val="20"/>
        </w:rPr>
        <w:t>87</w:t>
      </w:r>
      <w:r>
        <w:rPr>
          <w:rFonts w:ascii="Verdana" w:hAnsi="Verdana"/>
          <w:sz w:val="20"/>
          <w:szCs w:val="20"/>
        </w:rPr>
        <w:t xml:space="preserve"> un 530 milj. EUR attiecīgi.</w:t>
      </w:r>
    </w:p>
    <w:p w14:paraId="5C2048D6" w14:textId="3C8801BC" w:rsidR="00EE18EF" w:rsidRDefault="00D8255B" w:rsidP="009F66CE">
      <w:pPr>
        <w:jc w:val="both"/>
        <w:rPr>
          <w:rFonts w:ascii="Verdana" w:hAnsi="Verdana"/>
          <w:sz w:val="20"/>
          <w:szCs w:val="20"/>
        </w:rPr>
      </w:pPr>
      <w:r w:rsidRPr="00D8255B">
        <w:rPr>
          <w:rFonts w:ascii="Verdana" w:hAnsi="Verdana"/>
          <w:sz w:val="20"/>
          <w:szCs w:val="20"/>
        </w:rPr>
        <w:t xml:space="preserve">Arī onkoloģijai paredzētajām zālēm iepriekšējā </w:t>
      </w:r>
      <w:r>
        <w:rPr>
          <w:rFonts w:ascii="Verdana" w:hAnsi="Verdana"/>
          <w:sz w:val="20"/>
          <w:szCs w:val="20"/>
        </w:rPr>
        <w:t>Pamat</w:t>
      </w:r>
      <w:r w:rsidRPr="00D8255B">
        <w:rPr>
          <w:rFonts w:ascii="Verdana" w:hAnsi="Verdana"/>
          <w:sz w:val="20"/>
          <w:szCs w:val="20"/>
        </w:rPr>
        <w:t xml:space="preserve">nostādņu versijā paredzamais finansējuma apjoms bija augstāks, nekā šajā redakcijā. </w:t>
      </w:r>
      <w:r>
        <w:rPr>
          <w:rFonts w:ascii="Verdana" w:hAnsi="Verdana"/>
          <w:sz w:val="20"/>
          <w:szCs w:val="20"/>
        </w:rPr>
        <w:t>R</w:t>
      </w:r>
      <w:r w:rsidRPr="00D8255B">
        <w:rPr>
          <w:rFonts w:ascii="Verdana" w:hAnsi="Verdana"/>
          <w:sz w:val="20"/>
          <w:szCs w:val="20"/>
        </w:rPr>
        <w:t>ezultātā 2021.gada nogalē pieņemtajā budžetā no nepieciešamās summas zālēm tika piešķirta tikai trešdaļa.</w:t>
      </w:r>
    </w:p>
    <w:p w14:paraId="55AB519D" w14:textId="4E2F866F" w:rsidR="00D8255B" w:rsidRPr="00550A72" w:rsidRDefault="00D8255B" w:rsidP="009F66C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Precizētajā Pamatnostādņu projektā </w:t>
      </w:r>
      <w:r w:rsidR="00550A72">
        <w:rPr>
          <w:rFonts w:ascii="Verdana" w:hAnsi="Verdana"/>
          <w:sz w:val="20"/>
          <w:szCs w:val="20"/>
        </w:rPr>
        <w:t>ir svītro</w:t>
      </w:r>
      <w:r w:rsidR="00DA1B62">
        <w:rPr>
          <w:rFonts w:ascii="Verdana" w:hAnsi="Verdana"/>
          <w:sz w:val="20"/>
          <w:szCs w:val="20"/>
        </w:rPr>
        <w:t>t</w:t>
      </w:r>
      <w:r w:rsidR="00550A7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rezultatīvais rādītājs </w:t>
      </w:r>
      <w:r w:rsidRPr="00D8255B">
        <w:rPr>
          <w:rFonts w:ascii="Verdana" w:hAnsi="Verdana"/>
          <w:b/>
          <w:bCs/>
          <w:i/>
          <w:iCs/>
          <w:sz w:val="20"/>
          <w:szCs w:val="20"/>
        </w:rPr>
        <w:t>17.1. Valsts budžeta izdevumi veselības aprūpei un rehabilitācijai uz 1 iedzīvotāju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. </w:t>
      </w:r>
      <w:r w:rsidR="00550A72" w:rsidRPr="00550A72">
        <w:rPr>
          <w:rFonts w:ascii="Verdana" w:hAnsi="Verdana"/>
          <w:sz w:val="20"/>
          <w:szCs w:val="20"/>
        </w:rPr>
        <w:t>Arī šo rādītāju BRAL aicina ievietot atpakaļ Pamatnostādnēs, jo to plaši izmanto Eurostat</w:t>
      </w:r>
      <w:r w:rsidR="00B30B5B">
        <w:rPr>
          <w:rFonts w:ascii="Verdana" w:hAnsi="Verdana"/>
          <w:sz w:val="20"/>
          <w:szCs w:val="20"/>
          <w:vertAlign w:val="superscript"/>
        </w:rPr>
        <w:t>1</w:t>
      </w:r>
      <w:r w:rsidR="00550A72" w:rsidRPr="00550A72">
        <w:rPr>
          <w:rFonts w:ascii="Verdana" w:hAnsi="Verdana"/>
          <w:sz w:val="20"/>
          <w:szCs w:val="20"/>
        </w:rPr>
        <w:t>, PVO</w:t>
      </w:r>
      <w:r w:rsidR="00B30B5B">
        <w:rPr>
          <w:rFonts w:ascii="Verdana" w:hAnsi="Verdana"/>
          <w:sz w:val="20"/>
          <w:szCs w:val="20"/>
          <w:vertAlign w:val="superscript"/>
        </w:rPr>
        <w:t>2</w:t>
      </w:r>
      <w:r w:rsidR="00B30B5B">
        <w:rPr>
          <w:rFonts w:ascii="Verdana" w:hAnsi="Verdana"/>
          <w:sz w:val="20"/>
          <w:szCs w:val="20"/>
        </w:rPr>
        <w:t>, OECD</w:t>
      </w:r>
      <w:r w:rsidR="00B30B5B">
        <w:rPr>
          <w:rFonts w:ascii="Verdana" w:hAnsi="Verdana"/>
          <w:sz w:val="20"/>
          <w:szCs w:val="20"/>
          <w:vertAlign w:val="superscript"/>
        </w:rPr>
        <w:t>3</w:t>
      </w:r>
      <w:r w:rsidR="00550A72" w:rsidRPr="00550A72">
        <w:rPr>
          <w:rFonts w:ascii="Verdana" w:hAnsi="Verdana"/>
          <w:sz w:val="20"/>
          <w:szCs w:val="20"/>
        </w:rPr>
        <w:t xml:space="preserve"> un citas ES valstis veselības aprūpes politikas plānošanai, un atspoguļo vispārējo ieguldījumu apmēru veselības aprūpē</w:t>
      </w:r>
      <w:r w:rsidR="00550A72">
        <w:rPr>
          <w:rFonts w:ascii="Verdana" w:hAnsi="Verdana"/>
          <w:sz w:val="20"/>
          <w:szCs w:val="20"/>
        </w:rPr>
        <w:t xml:space="preserve">. Tas ir </w:t>
      </w:r>
      <w:r w:rsidR="00550A72" w:rsidRPr="00550A72">
        <w:rPr>
          <w:rFonts w:ascii="Verdana" w:hAnsi="Verdana"/>
          <w:sz w:val="20"/>
          <w:szCs w:val="20"/>
        </w:rPr>
        <w:t>nozīmīgs radītā</w:t>
      </w:r>
      <w:r w:rsidR="00160086">
        <w:rPr>
          <w:rFonts w:ascii="Verdana" w:hAnsi="Verdana"/>
          <w:sz w:val="20"/>
          <w:szCs w:val="20"/>
        </w:rPr>
        <w:t>j</w:t>
      </w:r>
      <w:r w:rsidR="00550A72" w:rsidRPr="00550A72">
        <w:rPr>
          <w:rFonts w:ascii="Verdana" w:hAnsi="Verdana"/>
          <w:sz w:val="20"/>
          <w:szCs w:val="20"/>
        </w:rPr>
        <w:t xml:space="preserve">s veselības ekonomikā veselības aprūpes ieguldījumu </w:t>
      </w:r>
      <w:r w:rsidR="00550A72">
        <w:rPr>
          <w:rFonts w:ascii="Verdana" w:hAnsi="Verdana"/>
          <w:sz w:val="20"/>
          <w:szCs w:val="20"/>
        </w:rPr>
        <w:t>samērošanai</w:t>
      </w:r>
      <w:r w:rsidR="00550A72" w:rsidRPr="00550A72">
        <w:rPr>
          <w:rFonts w:ascii="Verdana" w:hAnsi="Verdana"/>
          <w:sz w:val="20"/>
          <w:szCs w:val="20"/>
        </w:rPr>
        <w:t xml:space="preserve"> pret saņemto </w:t>
      </w:r>
      <w:r w:rsidR="00550A72">
        <w:rPr>
          <w:rFonts w:ascii="Verdana" w:hAnsi="Verdana"/>
          <w:sz w:val="20"/>
          <w:szCs w:val="20"/>
        </w:rPr>
        <w:t xml:space="preserve">gan veselības </w:t>
      </w:r>
      <w:r w:rsidR="00550A72" w:rsidRPr="00550A72">
        <w:rPr>
          <w:rFonts w:ascii="Verdana" w:hAnsi="Verdana"/>
          <w:sz w:val="20"/>
          <w:szCs w:val="20"/>
        </w:rPr>
        <w:t>efektu</w:t>
      </w:r>
      <w:r w:rsidR="00550A72">
        <w:rPr>
          <w:rFonts w:ascii="Verdana" w:hAnsi="Verdana"/>
          <w:sz w:val="20"/>
          <w:szCs w:val="20"/>
        </w:rPr>
        <w:t>/ieguvumu</w:t>
      </w:r>
      <w:r w:rsidR="00550A72" w:rsidRPr="00550A72">
        <w:rPr>
          <w:rFonts w:ascii="Verdana" w:hAnsi="Verdana"/>
          <w:sz w:val="20"/>
          <w:szCs w:val="20"/>
        </w:rPr>
        <w:t xml:space="preserve"> no veselības aprūpes (garāks paredzamais mūža ilgums,</w:t>
      </w:r>
      <w:r w:rsidR="00550A72">
        <w:rPr>
          <w:rFonts w:ascii="Verdana" w:hAnsi="Verdana"/>
          <w:sz w:val="20"/>
          <w:szCs w:val="20"/>
        </w:rPr>
        <w:t xml:space="preserve"> kvalitatīvi nodzīvotie mūža gadi, novērtas priekšlaicīgas mirstības</w:t>
      </w:r>
      <w:r w:rsidR="00550A72" w:rsidRPr="00550A72">
        <w:rPr>
          <w:rFonts w:ascii="Verdana" w:hAnsi="Verdana"/>
          <w:sz w:val="20"/>
          <w:szCs w:val="20"/>
        </w:rPr>
        <w:t>)</w:t>
      </w:r>
      <w:r w:rsidR="00550A72">
        <w:rPr>
          <w:rFonts w:ascii="Verdana" w:hAnsi="Verdana"/>
          <w:sz w:val="20"/>
          <w:szCs w:val="20"/>
        </w:rPr>
        <w:t>, gan ekonomisko efektu (samazināta darba nespēja, ieguvumi IKP).</w:t>
      </w:r>
    </w:p>
    <w:p w14:paraId="1B101BC1" w14:textId="77777777" w:rsidR="001F6636" w:rsidRDefault="000F287A" w:rsidP="00101FD2">
      <w:pPr>
        <w:jc w:val="both"/>
        <w:rPr>
          <w:rFonts w:ascii="Verdana" w:hAnsi="Verdana"/>
          <w:sz w:val="20"/>
          <w:szCs w:val="20"/>
        </w:rPr>
      </w:pPr>
      <w:r w:rsidRPr="008034F7">
        <w:rPr>
          <w:rFonts w:ascii="Verdana" w:hAnsi="Verdana"/>
          <w:b/>
          <w:bCs/>
          <w:sz w:val="20"/>
          <w:szCs w:val="20"/>
        </w:rPr>
        <w:t xml:space="preserve">Aicinām </w:t>
      </w:r>
      <w:r w:rsidR="00D8255B" w:rsidRPr="008034F7">
        <w:rPr>
          <w:rFonts w:ascii="Verdana" w:hAnsi="Verdana"/>
          <w:b/>
          <w:bCs/>
          <w:sz w:val="20"/>
          <w:szCs w:val="20"/>
        </w:rPr>
        <w:t>Veselības ministriju ietvert rezultatīvo rādītāju</w:t>
      </w:r>
      <w:r w:rsidRPr="008034F7">
        <w:rPr>
          <w:rFonts w:ascii="Verdana" w:hAnsi="Verdana"/>
          <w:b/>
          <w:bCs/>
          <w:sz w:val="20"/>
          <w:szCs w:val="20"/>
        </w:rPr>
        <w:t xml:space="preserve"> par zāļu budžeta kāpināšanu uz vienu iedzīvotāju </w:t>
      </w:r>
      <w:r w:rsidR="00550A72" w:rsidRPr="008034F7">
        <w:rPr>
          <w:rFonts w:ascii="Verdana" w:hAnsi="Verdana"/>
          <w:b/>
          <w:bCs/>
          <w:sz w:val="20"/>
          <w:szCs w:val="20"/>
        </w:rPr>
        <w:t>un Valsts budžeta izdevumi veselības aprūpei un rehabilitācijai</w:t>
      </w:r>
      <w:r w:rsidR="00550A72">
        <w:rPr>
          <w:rFonts w:ascii="Verdana" w:hAnsi="Verdana"/>
          <w:sz w:val="20"/>
          <w:szCs w:val="20"/>
        </w:rPr>
        <w:t xml:space="preserve">, un </w:t>
      </w:r>
      <w:r w:rsidRPr="00D8255B">
        <w:rPr>
          <w:rFonts w:ascii="Verdana" w:hAnsi="Verdana"/>
          <w:sz w:val="20"/>
          <w:szCs w:val="20"/>
        </w:rPr>
        <w:t>attiecināt šo</w:t>
      </w:r>
      <w:r w:rsidR="00550A72">
        <w:rPr>
          <w:rFonts w:ascii="Verdana" w:hAnsi="Verdana"/>
          <w:sz w:val="20"/>
          <w:szCs w:val="20"/>
        </w:rPr>
        <w:t>s</w:t>
      </w:r>
      <w:r w:rsidRPr="00D8255B">
        <w:rPr>
          <w:rFonts w:ascii="Verdana" w:hAnsi="Verdana"/>
          <w:sz w:val="20"/>
          <w:szCs w:val="20"/>
        </w:rPr>
        <w:t xml:space="preserve"> rādītāju</w:t>
      </w:r>
      <w:r w:rsidR="00550A72">
        <w:rPr>
          <w:rFonts w:ascii="Verdana" w:hAnsi="Verdana"/>
          <w:sz w:val="20"/>
          <w:szCs w:val="20"/>
        </w:rPr>
        <w:t>s</w:t>
      </w:r>
      <w:r w:rsidRPr="00D8255B">
        <w:rPr>
          <w:rFonts w:ascii="Verdana" w:hAnsi="Verdana"/>
          <w:sz w:val="20"/>
          <w:szCs w:val="20"/>
        </w:rPr>
        <w:t xml:space="preserve"> uz visām sadaļām, no kurām tas ir šobrīd izdzēsts. </w:t>
      </w:r>
      <w:r w:rsidRPr="00D8255B">
        <w:rPr>
          <w:rFonts w:ascii="Verdana" w:hAnsi="Verdana"/>
          <w:sz w:val="20"/>
          <w:szCs w:val="20"/>
        </w:rPr>
        <w:br w:type="textWrapping" w:clear="all"/>
      </w:r>
    </w:p>
    <w:p w14:paraId="0EF490EA" w14:textId="77777777" w:rsidR="009474B6" w:rsidRDefault="00D8255B" w:rsidP="00101F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Papildu tam, BRAL aicina Veselības ministriju, pēc līdzības ar </w:t>
      </w:r>
      <w:r w:rsidR="00101FD2" w:rsidRPr="00101FD2">
        <w:rPr>
          <w:rFonts w:ascii="Verdana" w:hAnsi="Verdana"/>
          <w:i/>
          <w:iCs/>
          <w:sz w:val="20"/>
          <w:szCs w:val="20"/>
        </w:rPr>
        <w:t>Veselības aprūpes pakalpojumu onkoloģijas jomā uzlabošanas plāns 2022.–2024.gadam</w:t>
      </w:r>
      <w:r w:rsidR="00101FD2">
        <w:rPr>
          <w:rFonts w:ascii="Verdana" w:hAnsi="Verdana"/>
          <w:sz w:val="20"/>
          <w:szCs w:val="20"/>
        </w:rPr>
        <w:t xml:space="preserve"> (5.pielikuma pozīcija 3.1.7.1. sasaistē ar 3.1.7.2.) un </w:t>
      </w:r>
      <w:r w:rsidR="00101FD2" w:rsidRPr="00101FD2">
        <w:rPr>
          <w:rFonts w:ascii="Verdana" w:hAnsi="Verdana"/>
          <w:i/>
          <w:iCs/>
          <w:sz w:val="20"/>
          <w:szCs w:val="20"/>
        </w:rPr>
        <w:t>Plāna alkoholisma un narkotisko vielu lietošanas izplatības mazināšanas jomā 2023.-2025.gadam</w:t>
      </w:r>
      <w:r w:rsidR="00101FD2">
        <w:rPr>
          <w:rFonts w:ascii="Verdana" w:hAnsi="Verdana"/>
          <w:i/>
          <w:iCs/>
          <w:sz w:val="20"/>
          <w:szCs w:val="20"/>
        </w:rPr>
        <w:t xml:space="preserve"> </w:t>
      </w:r>
      <w:r w:rsidR="00101FD2">
        <w:rPr>
          <w:rFonts w:ascii="Verdana" w:hAnsi="Verdana"/>
          <w:sz w:val="20"/>
          <w:szCs w:val="20"/>
        </w:rPr>
        <w:t xml:space="preserve">(5.pielikuma pozīcija 3.1.9.), kur ir iezīmēts atsevišķs finansējums plāna aktivitāšu īstenošanai, </w:t>
      </w:r>
      <w:r w:rsidR="00101FD2" w:rsidRPr="00101FD2">
        <w:rPr>
          <w:rFonts w:ascii="Verdana" w:hAnsi="Verdana"/>
          <w:b/>
          <w:bCs/>
          <w:sz w:val="20"/>
          <w:szCs w:val="20"/>
        </w:rPr>
        <w:t>izdalīt atsevišķi paredzēto finansējumu citiem veselības aprūpes plāniem</w:t>
      </w:r>
      <w:r w:rsidR="00101FD2">
        <w:rPr>
          <w:rFonts w:ascii="Verdana" w:hAnsi="Verdana"/>
          <w:sz w:val="20"/>
          <w:szCs w:val="20"/>
        </w:rPr>
        <w:t xml:space="preserve"> (</w:t>
      </w:r>
      <w:r w:rsidR="00101FD2" w:rsidRPr="00101FD2">
        <w:rPr>
          <w:rFonts w:ascii="Verdana" w:hAnsi="Verdana"/>
          <w:sz w:val="20"/>
          <w:szCs w:val="20"/>
        </w:rPr>
        <w:t>Psihiatrijas plāns (3.1.8.1.);</w:t>
      </w:r>
      <w:r w:rsidR="00101FD2" w:rsidRPr="00101FD2">
        <w:t xml:space="preserve"> </w:t>
      </w:r>
      <w:r w:rsidR="00101FD2">
        <w:t xml:space="preserve">Plāns </w:t>
      </w:r>
      <w:r w:rsidR="00101FD2" w:rsidRPr="00101FD2">
        <w:rPr>
          <w:rFonts w:ascii="Verdana" w:hAnsi="Verdana"/>
          <w:sz w:val="20"/>
          <w:szCs w:val="20"/>
        </w:rPr>
        <w:t xml:space="preserve">2023.-2027.gadam HIV infekcijas, seksuālās transmisijas infekciju, B un C hepatīta izplatības ierobežošanai (2.3.1.); </w:t>
      </w:r>
      <w:r w:rsidR="00101FD2">
        <w:rPr>
          <w:rFonts w:ascii="Verdana" w:hAnsi="Verdana"/>
          <w:sz w:val="20"/>
          <w:szCs w:val="20"/>
        </w:rPr>
        <w:t>Plāns “</w:t>
      </w:r>
      <w:r w:rsidR="00101FD2" w:rsidRPr="00101FD2">
        <w:rPr>
          <w:rFonts w:ascii="Verdana" w:hAnsi="Verdana"/>
          <w:sz w:val="20"/>
          <w:szCs w:val="20"/>
        </w:rPr>
        <w:t>viena veselība</w:t>
      </w:r>
      <w:r w:rsidR="00101FD2">
        <w:rPr>
          <w:rFonts w:ascii="Verdana" w:hAnsi="Verdana"/>
          <w:sz w:val="20"/>
          <w:szCs w:val="20"/>
        </w:rPr>
        <w:t>”</w:t>
      </w:r>
      <w:r w:rsidR="00101FD2" w:rsidRPr="00101FD2">
        <w:rPr>
          <w:rFonts w:ascii="Verdana" w:hAnsi="Verdana"/>
          <w:sz w:val="20"/>
          <w:szCs w:val="20"/>
        </w:rPr>
        <w:t xml:space="preserve"> (2.4.1.); </w:t>
      </w:r>
      <w:r w:rsidR="00101FD2">
        <w:rPr>
          <w:rFonts w:ascii="Verdana" w:hAnsi="Verdana"/>
          <w:sz w:val="20"/>
          <w:szCs w:val="20"/>
        </w:rPr>
        <w:t xml:space="preserve">Plāns </w:t>
      </w:r>
      <w:r w:rsidR="00101FD2" w:rsidRPr="00101FD2">
        <w:rPr>
          <w:rFonts w:ascii="Verdana" w:hAnsi="Verdana"/>
          <w:sz w:val="20"/>
          <w:szCs w:val="20"/>
        </w:rPr>
        <w:t>reto slimību jomas uzlabošanai (3.1.12.1)</w:t>
      </w:r>
      <w:r w:rsidR="00101FD2">
        <w:rPr>
          <w:rFonts w:ascii="Verdana" w:hAnsi="Verdana"/>
          <w:sz w:val="20"/>
          <w:szCs w:val="20"/>
        </w:rPr>
        <w:t>), ja vien tas ir iespējams.</w:t>
      </w:r>
    </w:p>
    <w:p w14:paraId="521FA59A" w14:textId="7D7C43CE" w:rsidR="009474B6" w:rsidRDefault="009474B6" w:rsidP="00101F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Vēršam uzmanību uz to, ka ir ļoti svarīgi jau plānu izstrādes sākuma posmā (piemēram, Reto slimību jomā) apzināt plānoto pacientu skaitu un līdz ar to plānot nepieciešamo papildu budžeta finansējumu.</w:t>
      </w:r>
    </w:p>
    <w:p w14:paraId="4D29D628" w14:textId="41F62E75" w:rsidR="00713C8A" w:rsidRPr="00101FD2" w:rsidRDefault="00713C8A" w:rsidP="00101F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Esam gatavi arī turpmāk sadarboties ar V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eselības ministriju </w:t>
      </w:r>
      <w:r w:rsidR="009474B6">
        <w:rPr>
          <w:rFonts w:ascii="Verdana" w:hAnsi="Verdana"/>
          <w:sz w:val="20"/>
          <w:szCs w:val="20"/>
        </w:rPr>
        <w:t>nākamo</w:t>
      </w:r>
      <w:r>
        <w:rPr>
          <w:rFonts w:ascii="Verdana" w:hAnsi="Verdana"/>
          <w:sz w:val="20"/>
          <w:szCs w:val="20"/>
        </w:rPr>
        <w:t xml:space="preserve"> plānu izstrādē.</w:t>
      </w:r>
    </w:p>
    <w:p w14:paraId="395D232E" w14:textId="77777777" w:rsidR="00932278" w:rsidRDefault="00932278" w:rsidP="006F520F">
      <w:pPr>
        <w:spacing w:after="0"/>
        <w:jc w:val="both"/>
        <w:rPr>
          <w:rFonts w:ascii="Verdana" w:eastAsia="Times New Roman" w:hAnsi="Verdana"/>
          <w:sz w:val="20"/>
          <w:szCs w:val="20"/>
          <w:lang w:eastAsia="lv-LV"/>
        </w:rPr>
      </w:pPr>
    </w:p>
    <w:p w14:paraId="08AFBF7C" w14:textId="2C9DB608" w:rsidR="001E66C8" w:rsidRPr="008D396E" w:rsidRDefault="001E66C8" w:rsidP="006F520F">
      <w:pPr>
        <w:spacing w:after="0"/>
        <w:jc w:val="both"/>
        <w:rPr>
          <w:rFonts w:ascii="Verdana" w:eastAsia="Times New Roman" w:hAnsi="Verdana"/>
          <w:sz w:val="20"/>
          <w:szCs w:val="20"/>
          <w:lang w:eastAsia="lv-LV"/>
        </w:rPr>
      </w:pPr>
      <w:r w:rsidRPr="008D396E">
        <w:rPr>
          <w:rFonts w:ascii="Verdana" w:eastAsia="Times New Roman" w:hAnsi="Verdana"/>
          <w:sz w:val="20"/>
          <w:szCs w:val="20"/>
          <w:lang w:eastAsia="lv-LV"/>
        </w:rPr>
        <w:t>Ar cieņu,</w:t>
      </w:r>
    </w:p>
    <w:p w14:paraId="08AFBF7D" w14:textId="77777777" w:rsidR="001E66C8" w:rsidRPr="008D396E" w:rsidRDefault="001E66C8" w:rsidP="006F520F">
      <w:pPr>
        <w:spacing w:after="0"/>
        <w:jc w:val="both"/>
        <w:rPr>
          <w:rFonts w:ascii="Verdana" w:eastAsia="Times New Roman" w:hAnsi="Verdana"/>
          <w:sz w:val="20"/>
          <w:szCs w:val="20"/>
          <w:lang w:eastAsia="lv-LV"/>
        </w:rPr>
      </w:pPr>
    </w:p>
    <w:p w14:paraId="08AFBF7E" w14:textId="77777777" w:rsidR="001E66C8" w:rsidRPr="008D396E" w:rsidRDefault="001E66C8" w:rsidP="006F520F">
      <w:pPr>
        <w:spacing w:after="0"/>
        <w:jc w:val="both"/>
        <w:rPr>
          <w:rFonts w:ascii="Verdana" w:eastAsia="Times New Roman" w:hAnsi="Verdana"/>
          <w:sz w:val="20"/>
          <w:szCs w:val="20"/>
          <w:lang w:eastAsia="lv-LV"/>
        </w:rPr>
      </w:pPr>
      <w:r w:rsidRPr="008D396E">
        <w:rPr>
          <w:rFonts w:ascii="Verdana" w:eastAsia="Times New Roman" w:hAnsi="Verdana"/>
          <w:sz w:val="20"/>
          <w:szCs w:val="20"/>
          <w:lang w:eastAsia="lv-LV"/>
        </w:rPr>
        <w:t>Biedrības „Biofarmaceitisko zāļu ražotāju asociācija Latvijā” vārdā</w:t>
      </w:r>
    </w:p>
    <w:p w14:paraId="08AFBF7F" w14:textId="77777777" w:rsidR="009A1E1D" w:rsidRPr="008D396E" w:rsidRDefault="009A1E1D" w:rsidP="006F520F">
      <w:pPr>
        <w:spacing w:after="0"/>
        <w:jc w:val="both"/>
        <w:rPr>
          <w:rFonts w:ascii="Verdana" w:eastAsia="Times New Roman" w:hAnsi="Verdana"/>
          <w:sz w:val="20"/>
          <w:szCs w:val="20"/>
          <w:lang w:eastAsia="lv-LV"/>
        </w:rPr>
      </w:pPr>
    </w:p>
    <w:p w14:paraId="08AFBF80" w14:textId="77777777" w:rsidR="009A1E1D" w:rsidRPr="008D396E" w:rsidRDefault="009A1E1D" w:rsidP="006F520F">
      <w:pPr>
        <w:spacing w:after="0"/>
        <w:jc w:val="both"/>
        <w:rPr>
          <w:rFonts w:ascii="Verdana" w:eastAsia="Times New Roman" w:hAnsi="Verdana"/>
          <w:sz w:val="20"/>
          <w:szCs w:val="20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0"/>
        <w:gridCol w:w="2821"/>
        <w:gridCol w:w="2821"/>
      </w:tblGrid>
      <w:tr w:rsidR="001E66C8" w:rsidRPr="008D396E" w14:paraId="08AFBF89" w14:textId="77777777" w:rsidTr="005F4BE7">
        <w:trPr>
          <w:trHeight w:hRule="exact" w:val="1636"/>
        </w:trPr>
        <w:tc>
          <w:tcPr>
            <w:tcW w:w="2820" w:type="dxa"/>
          </w:tcPr>
          <w:p w14:paraId="08AFBF81" w14:textId="77777777" w:rsidR="001E66C8" w:rsidRPr="008D396E" w:rsidRDefault="001E66C8" w:rsidP="006F520F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lv-LV"/>
              </w:rPr>
            </w:pPr>
          </w:p>
          <w:p w14:paraId="08AFBF82" w14:textId="77777777" w:rsidR="001E66C8" w:rsidRPr="008D396E" w:rsidRDefault="001E66C8" w:rsidP="006F520F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lv-LV"/>
              </w:rPr>
            </w:pPr>
            <w:r w:rsidRPr="008D396E">
              <w:rPr>
                <w:rFonts w:ascii="Verdana" w:eastAsia="Times New Roman" w:hAnsi="Verdana"/>
                <w:sz w:val="20"/>
                <w:szCs w:val="20"/>
                <w:lang w:eastAsia="lv-LV"/>
              </w:rPr>
              <w:t>_____________</w:t>
            </w:r>
          </w:p>
          <w:p w14:paraId="08AFBF83" w14:textId="77777777" w:rsidR="001E66C8" w:rsidRPr="008D396E" w:rsidRDefault="002270AB" w:rsidP="006F520F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lv-LV"/>
              </w:rPr>
            </w:pPr>
            <w:r w:rsidRPr="008D396E">
              <w:rPr>
                <w:rFonts w:ascii="Verdana" w:eastAsia="Times New Roman" w:hAnsi="Verdana"/>
                <w:sz w:val="20"/>
                <w:szCs w:val="20"/>
                <w:lang w:eastAsia="lv-LV"/>
              </w:rPr>
              <w:t xml:space="preserve">Signe Vēliņa </w:t>
            </w:r>
          </w:p>
          <w:p w14:paraId="08AFBF84" w14:textId="77777777" w:rsidR="001E66C8" w:rsidRPr="008D396E" w:rsidRDefault="001E66C8" w:rsidP="006F520F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lv-LV"/>
              </w:rPr>
            </w:pPr>
          </w:p>
        </w:tc>
        <w:tc>
          <w:tcPr>
            <w:tcW w:w="2821" w:type="dxa"/>
          </w:tcPr>
          <w:p w14:paraId="08AFBF85" w14:textId="77777777" w:rsidR="001E66C8" w:rsidRPr="008D396E" w:rsidRDefault="001E66C8" w:rsidP="006F520F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lv-LV"/>
              </w:rPr>
            </w:pPr>
          </w:p>
        </w:tc>
        <w:tc>
          <w:tcPr>
            <w:tcW w:w="2821" w:type="dxa"/>
          </w:tcPr>
          <w:p w14:paraId="08AFBF86" w14:textId="77777777" w:rsidR="001E66C8" w:rsidRPr="008D396E" w:rsidRDefault="001E66C8" w:rsidP="006F520F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lv-LV"/>
              </w:rPr>
            </w:pPr>
          </w:p>
          <w:p w14:paraId="08AFBF87" w14:textId="77777777" w:rsidR="001E66C8" w:rsidRPr="008D396E" w:rsidRDefault="001E66C8" w:rsidP="006F520F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lv-LV"/>
              </w:rPr>
            </w:pPr>
            <w:r w:rsidRPr="008D396E">
              <w:rPr>
                <w:rFonts w:ascii="Verdana" w:eastAsia="Times New Roman" w:hAnsi="Verdana"/>
                <w:sz w:val="20"/>
                <w:szCs w:val="20"/>
                <w:lang w:eastAsia="lv-LV"/>
              </w:rPr>
              <w:t>_____________</w:t>
            </w:r>
          </w:p>
          <w:p w14:paraId="08AFBF88" w14:textId="77777777" w:rsidR="001E66C8" w:rsidRPr="008D396E" w:rsidRDefault="002270AB" w:rsidP="006F520F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lv-LV"/>
              </w:rPr>
            </w:pPr>
            <w:r w:rsidRPr="008D396E">
              <w:rPr>
                <w:rFonts w:ascii="Verdana" w:eastAsia="Times New Roman" w:hAnsi="Verdana"/>
                <w:sz w:val="20"/>
                <w:szCs w:val="20"/>
                <w:lang w:eastAsia="lv-LV"/>
              </w:rPr>
              <w:t>Jānis Siliņš</w:t>
            </w:r>
          </w:p>
        </w:tc>
      </w:tr>
    </w:tbl>
    <w:p w14:paraId="08AFBF8A" w14:textId="77777777" w:rsidR="001E66C8" w:rsidRPr="008D396E" w:rsidRDefault="001E66C8" w:rsidP="006F520F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lv-LV"/>
        </w:rPr>
      </w:pPr>
    </w:p>
    <w:p w14:paraId="08AFBF8B" w14:textId="70145D59" w:rsidR="001E66C8" w:rsidRPr="008A5FDA" w:rsidRDefault="00C75CCE" w:rsidP="008A5FDA">
      <w:pPr>
        <w:spacing w:after="0"/>
        <w:jc w:val="center"/>
        <w:rPr>
          <w:rFonts w:ascii="Verdana" w:eastAsia="Times New Roman" w:hAnsi="Verdana"/>
          <w:bCs/>
          <w:sz w:val="20"/>
          <w:szCs w:val="20"/>
          <w:lang w:eastAsia="lv-LV"/>
        </w:rPr>
      </w:pPr>
      <w:r w:rsidRPr="008A5FDA">
        <w:rPr>
          <w:rFonts w:ascii="Verdana" w:eastAsia="Times New Roman" w:hAnsi="Verdana"/>
          <w:bCs/>
          <w:sz w:val="20"/>
          <w:szCs w:val="20"/>
          <w:lang w:eastAsia="lv-LV"/>
        </w:rPr>
        <w:t xml:space="preserve">(Parakstīts ar drošu </w:t>
      </w:r>
      <w:r w:rsidR="008A5FDA" w:rsidRPr="008A5FDA">
        <w:rPr>
          <w:rFonts w:ascii="Verdana" w:eastAsia="Times New Roman" w:hAnsi="Verdana"/>
          <w:bCs/>
          <w:sz w:val="20"/>
          <w:szCs w:val="20"/>
          <w:lang w:eastAsia="lv-LV"/>
        </w:rPr>
        <w:t>elektronisku</w:t>
      </w:r>
      <w:r w:rsidRPr="008A5FDA">
        <w:rPr>
          <w:rFonts w:ascii="Verdana" w:eastAsia="Times New Roman" w:hAnsi="Verdana"/>
          <w:bCs/>
          <w:sz w:val="20"/>
          <w:szCs w:val="20"/>
          <w:lang w:eastAsia="lv-LV"/>
        </w:rPr>
        <w:t xml:space="preserve"> parakstu, kas satur laika zīmogu)</w:t>
      </w:r>
    </w:p>
    <w:sectPr w:rsidR="001E66C8" w:rsidRPr="008A5FDA" w:rsidSect="00932278">
      <w:headerReference w:type="first" r:id="rId11"/>
      <w:pgSz w:w="11906" w:h="16838"/>
      <w:pgMar w:top="1440" w:right="141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DE5D" w14:textId="77777777" w:rsidR="002702EC" w:rsidRDefault="002702EC" w:rsidP="00220C65">
      <w:pPr>
        <w:spacing w:after="0" w:line="240" w:lineRule="auto"/>
      </w:pPr>
      <w:r>
        <w:separator/>
      </w:r>
    </w:p>
  </w:endnote>
  <w:endnote w:type="continuationSeparator" w:id="0">
    <w:p w14:paraId="2A3F1271" w14:textId="77777777" w:rsidR="002702EC" w:rsidRDefault="002702EC" w:rsidP="0022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2AFDB" w14:textId="77777777" w:rsidR="002702EC" w:rsidRDefault="002702EC" w:rsidP="00220C65">
      <w:pPr>
        <w:spacing w:after="0" w:line="240" w:lineRule="auto"/>
      </w:pPr>
      <w:r>
        <w:separator/>
      </w:r>
    </w:p>
  </w:footnote>
  <w:footnote w:type="continuationSeparator" w:id="0">
    <w:p w14:paraId="6C6DFF27" w14:textId="77777777" w:rsidR="002702EC" w:rsidRDefault="002702EC" w:rsidP="00220C65">
      <w:pPr>
        <w:spacing w:after="0" w:line="240" w:lineRule="auto"/>
      </w:pPr>
      <w:r>
        <w:continuationSeparator/>
      </w:r>
    </w:p>
  </w:footnote>
  <w:footnote w:id="1">
    <w:p w14:paraId="2E554195" w14:textId="51828077" w:rsidR="009F66CE" w:rsidRDefault="009F66CE">
      <w:pPr>
        <w:pStyle w:val="FootnoteText"/>
      </w:pPr>
      <w:r>
        <w:rPr>
          <w:rStyle w:val="FootnoteReference"/>
        </w:rPr>
        <w:footnoteRef/>
      </w:r>
      <w:r>
        <w:t xml:space="preserve"> Eurostat. Health expenditure statistics. Pieejams tiešsaistē: </w:t>
      </w:r>
      <w:hyperlink r:id="rId1" w:history="1">
        <w:r w:rsidRPr="009B5DDC">
          <w:rPr>
            <w:rStyle w:val="Hyperlink"/>
          </w:rPr>
          <w:t>https://ec.europa.eu/eurostat/statistics-explained/index.php?title=Healthcare_expenditure_statistics</w:t>
        </w:r>
      </w:hyperlink>
      <w:r>
        <w:t xml:space="preserve"> </w:t>
      </w:r>
    </w:p>
  </w:footnote>
  <w:footnote w:id="2">
    <w:p w14:paraId="326E01C6" w14:textId="736AB306" w:rsidR="00B30B5B" w:rsidRDefault="00B30B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WHO </w:t>
      </w:r>
      <w:r>
        <w:t xml:space="preserve">Global Health Expenditure database. Health expenditure profile. Latvia. Pieejams tiešsaistē: </w:t>
      </w:r>
      <w:hyperlink r:id="rId2" w:history="1">
        <w:r w:rsidRPr="009B5DDC">
          <w:rPr>
            <w:rStyle w:val="Hyperlink"/>
          </w:rPr>
          <w:t>https://apps.who.int/nha/database/country_profile/Index/en</w:t>
        </w:r>
      </w:hyperlink>
      <w:r>
        <w:t xml:space="preserve"> </w:t>
      </w:r>
    </w:p>
  </w:footnote>
  <w:footnote w:id="3">
    <w:p w14:paraId="6CC1ED46" w14:textId="5F44D69F" w:rsidR="00B30B5B" w:rsidRDefault="00B30B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0B5B">
        <w:t>OECD (2022), Health spending (indicator). doi: 10.1787/8643de7e-en (Accessed on 10 March 2022)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BF90" w14:textId="77777777" w:rsidR="00DC332B" w:rsidRPr="00DC332B" w:rsidRDefault="00DC332B" w:rsidP="00DC332B">
    <w:pPr>
      <w:tabs>
        <w:tab w:val="left" w:pos="1950"/>
        <w:tab w:val="center" w:pos="4153"/>
        <w:tab w:val="center" w:pos="4513"/>
        <w:tab w:val="right" w:pos="8306"/>
      </w:tabs>
      <w:spacing w:after="0" w:line="240" w:lineRule="auto"/>
      <w:jc w:val="center"/>
      <w:rPr>
        <w:rFonts w:ascii="Verdana" w:eastAsiaTheme="minorHAnsi" w:hAnsi="Verdana" w:cstheme="minorBidi"/>
        <w:sz w:val="20"/>
      </w:rPr>
    </w:pPr>
    <w:r w:rsidRPr="00DC332B">
      <w:rPr>
        <w:rFonts w:ascii="Verdana" w:eastAsiaTheme="minorHAnsi" w:hAnsi="Verdana" w:cstheme="minorBidi"/>
        <w:noProof/>
        <w:sz w:val="20"/>
        <w:lang w:val="en-US"/>
      </w:rPr>
      <w:drawing>
        <wp:inline distT="0" distB="0" distL="0" distR="0" wp14:anchorId="08AFBF99" wp14:editId="08AFBF9A">
          <wp:extent cx="619125" cy="567531"/>
          <wp:effectExtent l="0" t="0" r="0" b="4445"/>
          <wp:docPr id="7" name="Picture 7" descr="V:\_Public\BRAL\Logo\logo 05.07.13\BRAL_logo_blue_VEIDLAP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_Public\BRAL\Logo\logo 05.07.13\BRAL_logo_blue_VEIDLAP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87" cy="56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FBF91" w14:textId="77777777" w:rsidR="00DC332B" w:rsidRPr="00DC332B" w:rsidRDefault="00DC332B" w:rsidP="00DC332B">
    <w:pPr>
      <w:tabs>
        <w:tab w:val="center" w:pos="4153"/>
        <w:tab w:val="right" w:pos="8306"/>
      </w:tabs>
      <w:spacing w:after="0" w:line="240" w:lineRule="auto"/>
      <w:jc w:val="center"/>
      <w:rPr>
        <w:rFonts w:ascii="Verdana" w:eastAsiaTheme="minorHAnsi" w:hAnsi="Verdana" w:cstheme="minorBidi"/>
        <w:sz w:val="8"/>
        <w:szCs w:val="8"/>
      </w:rPr>
    </w:pPr>
  </w:p>
  <w:p w14:paraId="08AFBF92" w14:textId="77777777" w:rsidR="00DC332B" w:rsidRPr="00DC332B" w:rsidRDefault="00DC332B" w:rsidP="00DC332B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0"/>
        <w:szCs w:val="20"/>
      </w:rPr>
    </w:pPr>
    <w:r w:rsidRPr="00DC332B">
      <w:rPr>
        <w:rFonts w:asciiTheme="minorHAnsi" w:eastAsiaTheme="minorHAnsi" w:hAnsiTheme="minorHAnsi" w:cstheme="minorHAnsi"/>
        <w:b/>
        <w:sz w:val="20"/>
        <w:szCs w:val="20"/>
      </w:rPr>
      <w:t>Biofarmaceitisko zāļu ražotāju</w:t>
    </w:r>
  </w:p>
  <w:p w14:paraId="08AFBF93" w14:textId="77777777" w:rsidR="00DC332B" w:rsidRPr="00DC332B" w:rsidRDefault="00DC332B" w:rsidP="00DC332B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0"/>
        <w:szCs w:val="20"/>
      </w:rPr>
    </w:pPr>
    <w:r w:rsidRPr="00DC332B">
      <w:rPr>
        <w:rFonts w:asciiTheme="minorHAnsi" w:eastAsiaTheme="minorHAnsi" w:hAnsiTheme="minorHAnsi" w:cstheme="minorHAnsi"/>
        <w:b/>
        <w:sz w:val="20"/>
        <w:szCs w:val="20"/>
      </w:rPr>
      <w:t>asociācija Latvijā</w:t>
    </w:r>
  </w:p>
  <w:p w14:paraId="08AFBF94" w14:textId="77777777" w:rsidR="00DC332B" w:rsidRPr="00DC332B" w:rsidRDefault="00DC332B" w:rsidP="00DC332B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HAnsi"/>
        <w:sz w:val="12"/>
        <w:szCs w:val="12"/>
      </w:rPr>
    </w:pPr>
  </w:p>
  <w:p w14:paraId="08AFBF95" w14:textId="77777777" w:rsidR="00DC332B" w:rsidRPr="00DC332B" w:rsidRDefault="00DC332B" w:rsidP="00DC332B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DC332B">
      <w:rPr>
        <w:rFonts w:asciiTheme="minorHAnsi" w:eastAsiaTheme="minorHAnsi" w:hAnsiTheme="minorHAnsi" w:cstheme="minorHAnsi"/>
        <w:sz w:val="16"/>
        <w:szCs w:val="16"/>
      </w:rPr>
      <w:t>G.Astras iela 8b, Rīga, LV-1082</w:t>
    </w:r>
  </w:p>
  <w:p w14:paraId="08AFBF96" w14:textId="77777777" w:rsidR="00DC332B" w:rsidRPr="00DC332B" w:rsidRDefault="00DC332B" w:rsidP="00DC332B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DC332B">
      <w:rPr>
        <w:rFonts w:asciiTheme="minorHAnsi" w:eastAsiaTheme="minorHAnsi" w:hAnsiTheme="minorHAnsi" w:cstheme="minorHAnsi"/>
        <w:sz w:val="16"/>
        <w:szCs w:val="16"/>
      </w:rPr>
      <w:t>Tālr.: +371 67 039 831; Fakss: +371 67 039 833</w:t>
    </w:r>
  </w:p>
  <w:p w14:paraId="08AFBF97" w14:textId="77777777" w:rsidR="00DC332B" w:rsidRPr="00DC332B" w:rsidRDefault="00DC332B" w:rsidP="00DC332B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DC332B">
      <w:rPr>
        <w:rFonts w:asciiTheme="minorHAnsi" w:eastAsiaTheme="minorHAnsi" w:hAnsiTheme="minorHAnsi" w:cstheme="minorHAnsi"/>
        <w:sz w:val="16"/>
        <w:szCs w:val="16"/>
      </w:rPr>
      <w:t>E-pasts: info@bral.lv</w:t>
    </w:r>
  </w:p>
  <w:p w14:paraId="08AFBF98" w14:textId="77777777" w:rsidR="00110907" w:rsidRDefault="00110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2D2A"/>
    <w:multiLevelType w:val="hybridMultilevel"/>
    <w:tmpl w:val="67FC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B67B4"/>
    <w:multiLevelType w:val="hybridMultilevel"/>
    <w:tmpl w:val="9CCA89F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2F8"/>
    <w:multiLevelType w:val="hybridMultilevel"/>
    <w:tmpl w:val="EC8408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412CA"/>
    <w:multiLevelType w:val="hybridMultilevel"/>
    <w:tmpl w:val="9A0AD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7098"/>
    <w:multiLevelType w:val="hybridMultilevel"/>
    <w:tmpl w:val="A852C7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E5D69"/>
    <w:multiLevelType w:val="hybridMultilevel"/>
    <w:tmpl w:val="6136BAD6"/>
    <w:lvl w:ilvl="0" w:tplc="2FDA0B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55AA"/>
    <w:multiLevelType w:val="hybridMultilevel"/>
    <w:tmpl w:val="66287A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82379"/>
    <w:multiLevelType w:val="hybridMultilevel"/>
    <w:tmpl w:val="31CA89B4"/>
    <w:lvl w:ilvl="0" w:tplc="1F02D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7E70"/>
    <w:multiLevelType w:val="hybridMultilevel"/>
    <w:tmpl w:val="D90E9D60"/>
    <w:lvl w:ilvl="0" w:tplc="1F02D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7D10"/>
    <w:multiLevelType w:val="hybridMultilevel"/>
    <w:tmpl w:val="64BAC6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50B1"/>
    <w:multiLevelType w:val="multilevel"/>
    <w:tmpl w:val="3578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9026B"/>
    <w:multiLevelType w:val="hybridMultilevel"/>
    <w:tmpl w:val="4AB2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73713"/>
    <w:multiLevelType w:val="hybridMultilevel"/>
    <w:tmpl w:val="02106A70"/>
    <w:lvl w:ilvl="0" w:tplc="742C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76124"/>
    <w:multiLevelType w:val="hybridMultilevel"/>
    <w:tmpl w:val="00B0B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46C01"/>
    <w:multiLevelType w:val="hybridMultilevel"/>
    <w:tmpl w:val="5972F68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33733"/>
    <w:multiLevelType w:val="hybridMultilevel"/>
    <w:tmpl w:val="C45EC772"/>
    <w:lvl w:ilvl="0" w:tplc="1F02D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93519"/>
    <w:multiLevelType w:val="hybridMultilevel"/>
    <w:tmpl w:val="BE229C38"/>
    <w:lvl w:ilvl="0" w:tplc="15C461E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463D5"/>
    <w:multiLevelType w:val="hybridMultilevel"/>
    <w:tmpl w:val="B1CE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01B8C"/>
    <w:multiLevelType w:val="hybridMultilevel"/>
    <w:tmpl w:val="9F643B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660BA"/>
    <w:multiLevelType w:val="hybridMultilevel"/>
    <w:tmpl w:val="97AAE744"/>
    <w:lvl w:ilvl="0" w:tplc="B3DEF84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4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19"/>
  </w:num>
  <w:num w:numId="18">
    <w:abstractNumId w:val="17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65"/>
    <w:rsid w:val="00000ED7"/>
    <w:rsid w:val="000011C7"/>
    <w:rsid w:val="00012DBA"/>
    <w:rsid w:val="000377BF"/>
    <w:rsid w:val="00045C34"/>
    <w:rsid w:val="0006777A"/>
    <w:rsid w:val="00085F2D"/>
    <w:rsid w:val="00087D68"/>
    <w:rsid w:val="00096FF1"/>
    <w:rsid w:val="000A0BB5"/>
    <w:rsid w:val="000A5454"/>
    <w:rsid w:val="000B752A"/>
    <w:rsid w:val="000C12A8"/>
    <w:rsid w:val="000C357D"/>
    <w:rsid w:val="000C7470"/>
    <w:rsid w:val="000D21AC"/>
    <w:rsid w:val="000D24A6"/>
    <w:rsid w:val="000F287A"/>
    <w:rsid w:val="000F2F46"/>
    <w:rsid w:val="00101FD2"/>
    <w:rsid w:val="00110907"/>
    <w:rsid w:val="001221E2"/>
    <w:rsid w:val="001260E6"/>
    <w:rsid w:val="00136251"/>
    <w:rsid w:val="00142DAB"/>
    <w:rsid w:val="00151F7C"/>
    <w:rsid w:val="001524ED"/>
    <w:rsid w:val="00157138"/>
    <w:rsid w:val="00157E9C"/>
    <w:rsid w:val="00160086"/>
    <w:rsid w:val="00163AE0"/>
    <w:rsid w:val="00164ED0"/>
    <w:rsid w:val="001650E3"/>
    <w:rsid w:val="00165CD3"/>
    <w:rsid w:val="00167B03"/>
    <w:rsid w:val="00176173"/>
    <w:rsid w:val="001808B6"/>
    <w:rsid w:val="001A38DB"/>
    <w:rsid w:val="001A4064"/>
    <w:rsid w:val="001B03AD"/>
    <w:rsid w:val="001B3060"/>
    <w:rsid w:val="001C13E5"/>
    <w:rsid w:val="001C22F7"/>
    <w:rsid w:val="001D72EB"/>
    <w:rsid w:val="001E66C8"/>
    <w:rsid w:val="001F6636"/>
    <w:rsid w:val="002069B5"/>
    <w:rsid w:val="002168BC"/>
    <w:rsid w:val="00220C65"/>
    <w:rsid w:val="00226F09"/>
    <w:rsid w:val="002270AB"/>
    <w:rsid w:val="0026642C"/>
    <w:rsid w:val="002702EC"/>
    <w:rsid w:val="00271BAC"/>
    <w:rsid w:val="00272D5C"/>
    <w:rsid w:val="002740C1"/>
    <w:rsid w:val="00281D31"/>
    <w:rsid w:val="00286F77"/>
    <w:rsid w:val="002B0A5C"/>
    <w:rsid w:val="002B5CDA"/>
    <w:rsid w:val="002B727E"/>
    <w:rsid w:val="002C5034"/>
    <w:rsid w:val="002D07D6"/>
    <w:rsid w:val="002D3803"/>
    <w:rsid w:val="002E2242"/>
    <w:rsid w:val="002F09C9"/>
    <w:rsid w:val="002F2285"/>
    <w:rsid w:val="00313A04"/>
    <w:rsid w:val="00321E28"/>
    <w:rsid w:val="003361D5"/>
    <w:rsid w:val="003376FD"/>
    <w:rsid w:val="00390F34"/>
    <w:rsid w:val="00396047"/>
    <w:rsid w:val="00396E05"/>
    <w:rsid w:val="003A1A9D"/>
    <w:rsid w:val="003A2C54"/>
    <w:rsid w:val="003A430E"/>
    <w:rsid w:val="003B58D3"/>
    <w:rsid w:val="003B6086"/>
    <w:rsid w:val="003C4F68"/>
    <w:rsid w:val="003C7B4C"/>
    <w:rsid w:val="003D15EC"/>
    <w:rsid w:val="003D60D3"/>
    <w:rsid w:val="00412248"/>
    <w:rsid w:val="0042370C"/>
    <w:rsid w:val="00447719"/>
    <w:rsid w:val="00461AFF"/>
    <w:rsid w:val="0046774A"/>
    <w:rsid w:val="00473C97"/>
    <w:rsid w:val="00475F57"/>
    <w:rsid w:val="0048282F"/>
    <w:rsid w:val="00483F30"/>
    <w:rsid w:val="004941DF"/>
    <w:rsid w:val="004A1E3A"/>
    <w:rsid w:val="004B3F73"/>
    <w:rsid w:val="004C1496"/>
    <w:rsid w:val="004C17EB"/>
    <w:rsid w:val="004C2818"/>
    <w:rsid w:val="004E3022"/>
    <w:rsid w:val="004F127A"/>
    <w:rsid w:val="004F5411"/>
    <w:rsid w:val="004F59B0"/>
    <w:rsid w:val="00504979"/>
    <w:rsid w:val="0051189B"/>
    <w:rsid w:val="0051799F"/>
    <w:rsid w:val="00520036"/>
    <w:rsid w:val="005200F7"/>
    <w:rsid w:val="0052771F"/>
    <w:rsid w:val="00532172"/>
    <w:rsid w:val="00542ABE"/>
    <w:rsid w:val="00547D2A"/>
    <w:rsid w:val="00550A72"/>
    <w:rsid w:val="00553378"/>
    <w:rsid w:val="00571006"/>
    <w:rsid w:val="005719EA"/>
    <w:rsid w:val="00574979"/>
    <w:rsid w:val="00577D1C"/>
    <w:rsid w:val="005B2AFC"/>
    <w:rsid w:val="005B5D62"/>
    <w:rsid w:val="005C6440"/>
    <w:rsid w:val="005D3646"/>
    <w:rsid w:val="005E59F2"/>
    <w:rsid w:val="006023F9"/>
    <w:rsid w:val="00604EBB"/>
    <w:rsid w:val="00627E08"/>
    <w:rsid w:val="006305A3"/>
    <w:rsid w:val="0063076F"/>
    <w:rsid w:val="0063337C"/>
    <w:rsid w:val="00641AFC"/>
    <w:rsid w:val="00646CB8"/>
    <w:rsid w:val="00653288"/>
    <w:rsid w:val="0065418E"/>
    <w:rsid w:val="0066042C"/>
    <w:rsid w:val="006710E6"/>
    <w:rsid w:val="00695662"/>
    <w:rsid w:val="006A1299"/>
    <w:rsid w:val="006A3926"/>
    <w:rsid w:val="006A513B"/>
    <w:rsid w:val="006A6392"/>
    <w:rsid w:val="006A785E"/>
    <w:rsid w:val="006C3E5A"/>
    <w:rsid w:val="006E2823"/>
    <w:rsid w:val="006E7224"/>
    <w:rsid w:val="006F520F"/>
    <w:rsid w:val="00702254"/>
    <w:rsid w:val="00713C8A"/>
    <w:rsid w:val="00716536"/>
    <w:rsid w:val="00723CCB"/>
    <w:rsid w:val="00723E57"/>
    <w:rsid w:val="00726599"/>
    <w:rsid w:val="00731070"/>
    <w:rsid w:val="0073148C"/>
    <w:rsid w:val="00731F92"/>
    <w:rsid w:val="00734082"/>
    <w:rsid w:val="0073581C"/>
    <w:rsid w:val="00737B60"/>
    <w:rsid w:val="00754025"/>
    <w:rsid w:val="007554E0"/>
    <w:rsid w:val="00756D06"/>
    <w:rsid w:val="0078324B"/>
    <w:rsid w:val="007865B4"/>
    <w:rsid w:val="007B4A07"/>
    <w:rsid w:val="007C079E"/>
    <w:rsid w:val="007D38CE"/>
    <w:rsid w:val="007E4EC9"/>
    <w:rsid w:val="007F3326"/>
    <w:rsid w:val="008014C7"/>
    <w:rsid w:val="008034F7"/>
    <w:rsid w:val="008047D0"/>
    <w:rsid w:val="00816CA7"/>
    <w:rsid w:val="00821566"/>
    <w:rsid w:val="00821BA2"/>
    <w:rsid w:val="00851F04"/>
    <w:rsid w:val="008538F3"/>
    <w:rsid w:val="00854FB5"/>
    <w:rsid w:val="00855E34"/>
    <w:rsid w:val="008579BE"/>
    <w:rsid w:val="008629C7"/>
    <w:rsid w:val="00870589"/>
    <w:rsid w:val="00874460"/>
    <w:rsid w:val="00874F70"/>
    <w:rsid w:val="0087638F"/>
    <w:rsid w:val="00882DF7"/>
    <w:rsid w:val="008A5FDA"/>
    <w:rsid w:val="008A70A9"/>
    <w:rsid w:val="008D396E"/>
    <w:rsid w:val="008E24CB"/>
    <w:rsid w:val="008F33A1"/>
    <w:rsid w:val="008F5FA9"/>
    <w:rsid w:val="008F7FCD"/>
    <w:rsid w:val="00902B18"/>
    <w:rsid w:val="00903CFD"/>
    <w:rsid w:val="00906931"/>
    <w:rsid w:val="009152B2"/>
    <w:rsid w:val="009168EA"/>
    <w:rsid w:val="00922814"/>
    <w:rsid w:val="00931D70"/>
    <w:rsid w:val="00932278"/>
    <w:rsid w:val="00947333"/>
    <w:rsid w:val="009474B6"/>
    <w:rsid w:val="009654D6"/>
    <w:rsid w:val="00967DCB"/>
    <w:rsid w:val="009759CA"/>
    <w:rsid w:val="00983225"/>
    <w:rsid w:val="00997B4E"/>
    <w:rsid w:val="009A1E1D"/>
    <w:rsid w:val="009A6580"/>
    <w:rsid w:val="009C0C56"/>
    <w:rsid w:val="009C33BA"/>
    <w:rsid w:val="009D0EB0"/>
    <w:rsid w:val="009D6FDA"/>
    <w:rsid w:val="009E58E5"/>
    <w:rsid w:val="009F0A8E"/>
    <w:rsid w:val="009F4207"/>
    <w:rsid w:val="009F66CE"/>
    <w:rsid w:val="00A02B5E"/>
    <w:rsid w:val="00A148F4"/>
    <w:rsid w:val="00A17281"/>
    <w:rsid w:val="00A454BA"/>
    <w:rsid w:val="00A51BF1"/>
    <w:rsid w:val="00A60B28"/>
    <w:rsid w:val="00A70F8C"/>
    <w:rsid w:val="00A714B7"/>
    <w:rsid w:val="00A9216E"/>
    <w:rsid w:val="00A9720F"/>
    <w:rsid w:val="00A97DCA"/>
    <w:rsid w:val="00AB7B90"/>
    <w:rsid w:val="00AC5FA9"/>
    <w:rsid w:val="00AE0659"/>
    <w:rsid w:val="00AE5B39"/>
    <w:rsid w:val="00AF08ED"/>
    <w:rsid w:val="00B00020"/>
    <w:rsid w:val="00B00C0E"/>
    <w:rsid w:val="00B05712"/>
    <w:rsid w:val="00B17DD1"/>
    <w:rsid w:val="00B20C0D"/>
    <w:rsid w:val="00B215A1"/>
    <w:rsid w:val="00B258C5"/>
    <w:rsid w:val="00B30B5B"/>
    <w:rsid w:val="00B32449"/>
    <w:rsid w:val="00B62628"/>
    <w:rsid w:val="00B81EB5"/>
    <w:rsid w:val="00B82E60"/>
    <w:rsid w:val="00B85A9A"/>
    <w:rsid w:val="00BA18F7"/>
    <w:rsid w:val="00BB2E26"/>
    <w:rsid w:val="00BB36B1"/>
    <w:rsid w:val="00BB53A2"/>
    <w:rsid w:val="00BD4BD8"/>
    <w:rsid w:val="00BE1375"/>
    <w:rsid w:val="00BF1E86"/>
    <w:rsid w:val="00BF7B45"/>
    <w:rsid w:val="00C02B56"/>
    <w:rsid w:val="00C02D11"/>
    <w:rsid w:val="00C23C6B"/>
    <w:rsid w:val="00C32B01"/>
    <w:rsid w:val="00C41628"/>
    <w:rsid w:val="00C603EF"/>
    <w:rsid w:val="00C61A25"/>
    <w:rsid w:val="00C62F29"/>
    <w:rsid w:val="00C67045"/>
    <w:rsid w:val="00C740C5"/>
    <w:rsid w:val="00C75CCE"/>
    <w:rsid w:val="00C86901"/>
    <w:rsid w:val="00CA0247"/>
    <w:rsid w:val="00CB253C"/>
    <w:rsid w:val="00CB6156"/>
    <w:rsid w:val="00CB66ED"/>
    <w:rsid w:val="00CC60E2"/>
    <w:rsid w:val="00CD4DBE"/>
    <w:rsid w:val="00CD685B"/>
    <w:rsid w:val="00CE0338"/>
    <w:rsid w:val="00CE6DF0"/>
    <w:rsid w:val="00CE7808"/>
    <w:rsid w:val="00CF7460"/>
    <w:rsid w:val="00D00CCE"/>
    <w:rsid w:val="00D067E8"/>
    <w:rsid w:val="00D10183"/>
    <w:rsid w:val="00D115B8"/>
    <w:rsid w:val="00D11D5D"/>
    <w:rsid w:val="00D162A4"/>
    <w:rsid w:val="00D17FD7"/>
    <w:rsid w:val="00D27771"/>
    <w:rsid w:val="00D4026C"/>
    <w:rsid w:val="00D441E0"/>
    <w:rsid w:val="00D73B95"/>
    <w:rsid w:val="00D743AB"/>
    <w:rsid w:val="00D8255B"/>
    <w:rsid w:val="00D916B6"/>
    <w:rsid w:val="00DA0E74"/>
    <w:rsid w:val="00DA1B62"/>
    <w:rsid w:val="00DA1FD7"/>
    <w:rsid w:val="00DA61A4"/>
    <w:rsid w:val="00DA7BD9"/>
    <w:rsid w:val="00DB1AF9"/>
    <w:rsid w:val="00DB4A0D"/>
    <w:rsid w:val="00DB519F"/>
    <w:rsid w:val="00DC332B"/>
    <w:rsid w:val="00DD2AC5"/>
    <w:rsid w:val="00DD6D84"/>
    <w:rsid w:val="00DE719B"/>
    <w:rsid w:val="00DF3E83"/>
    <w:rsid w:val="00E06214"/>
    <w:rsid w:val="00E20A5F"/>
    <w:rsid w:val="00E2291E"/>
    <w:rsid w:val="00E242C8"/>
    <w:rsid w:val="00E51647"/>
    <w:rsid w:val="00E57AF0"/>
    <w:rsid w:val="00E66441"/>
    <w:rsid w:val="00E676DD"/>
    <w:rsid w:val="00E70333"/>
    <w:rsid w:val="00E7669D"/>
    <w:rsid w:val="00E910FB"/>
    <w:rsid w:val="00E9351E"/>
    <w:rsid w:val="00E970C5"/>
    <w:rsid w:val="00EC2BE8"/>
    <w:rsid w:val="00EE18EF"/>
    <w:rsid w:val="00F21891"/>
    <w:rsid w:val="00F33052"/>
    <w:rsid w:val="00F42A8E"/>
    <w:rsid w:val="00F45FC2"/>
    <w:rsid w:val="00F63A5E"/>
    <w:rsid w:val="00F7419B"/>
    <w:rsid w:val="00F83166"/>
    <w:rsid w:val="00F937CE"/>
    <w:rsid w:val="00F945F8"/>
    <w:rsid w:val="00FD235D"/>
    <w:rsid w:val="00FE0CFE"/>
    <w:rsid w:val="00FE4D73"/>
    <w:rsid w:val="00FE65A7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AFBF54"/>
  <w15:docId w15:val="{EFE39BE2-51C5-4752-A815-CD6E892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6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C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65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0C65"/>
  </w:style>
  <w:style w:type="paragraph" w:styleId="Footer">
    <w:name w:val="footer"/>
    <w:basedOn w:val="Normal"/>
    <w:link w:val="FooterChar"/>
    <w:uiPriority w:val="99"/>
    <w:unhideWhenUsed/>
    <w:rsid w:val="00220C65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0C65"/>
  </w:style>
  <w:style w:type="character" w:customStyle="1" w:styleId="Heading1Char">
    <w:name w:val="Heading 1 Char"/>
    <w:basedOn w:val="DefaultParagraphFont"/>
    <w:link w:val="Heading1"/>
    <w:uiPriority w:val="9"/>
    <w:rsid w:val="00220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0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F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79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79E"/>
    <w:rPr>
      <w:rFonts w:ascii="Calibri" w:eastAsia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semiHidden/>
    <w:rsid w:val="0073581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semiHidden/>
    <w:rsid w:val="0073581C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Hyperlink">
    <w:name w:val="Hyperlink"/>
    <w:basedOn w:val="DefaultParagraphFont"/>
    <w:uiPriority w:val="99"/>
    <w:unhideWhenUsed/>
    <w:rsid w:val="00B215A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38F3"/>
    <w:pPr>
      <w:spacing w:after="0" w:line="240" w:lineRule="auto"/>
      <w:jc w:val="right"/>
    </w:pPr>
    <w:rPr>
      <w:rFonts w:ascii="Garamond" w:eastAsiaTheme="minorHAnsi" w:hAnsi="Garamond" w:cs="Calibr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38F3"/>
    <w:rPr>
      <w:rFonts w:ascii="Garamond" w:hAnsi="Garamond" w:cs="Calibri"/>
      <w:sz w:val="28"/>
      <w:szCs w:val="28"/>
    </w:rPr>
  </w:style>
  <w:style w:type="table" w:styleId="TableGrid">
    <w:name w:val="Table Grid"/>
    <w:basedOn w:val="TableNormal"/>
    <w:uiPriority w:val="59"/>
    <w:rsid w:val="0008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0C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CF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CF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CF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C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range">
    <w:name w:val="orange"/>
    <w:basedOn w:val="DefaultParagraphFont"/>
    <w:rsid w:val="00FE0CFE"/>
  </w:style>
  <w:style w:type="character" w:styleId="Strong">
    <w:name w:val="Strong"/>
    <w:basedOn w:val="DefaultParagraphFont"/>
    <w:uiPriority w:val="22"/>
    <w:qFormat/>
    <w:rsid w:val="003D60D3"/>
    <w:rPr>
      <w:b/>
      <w:bCs/>
    </w:rPr>
  </w:style>
  <w:style w:type="character" w:customStyle="1" w:styleId="field">
    <w:name w:val="field"/>
    <w:basedOn w:val="DefaultParagraphFont"/>
    <w:rsid w:val="00DB519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pps.who.int/nha/database/country_profile/Index/en" TargetMode="External"/><Relationship Id="rId1" Type="http://schemas.openxmlformats.org/officeDocument/2006/relationships/hyperlink" Target="https://ec.europa.eu/eurostat/statistics-explained/index.php?title=Healthcare_expenditure_statist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3D01BCBFCE141B6289CFCCDC7E55E" ma:contentTypeVersion="13" ma:contentTypeDescription="Create a new document." ma:contentTypeScope="" ma:versionID="c9d25587391a58e6634ae68f3aea4963">
  <xsd:schema xmlns:xsd="http://www.w3.org/2001/XMLSchema" xmlns:xs="http://www.w3.org/2001/XMLSchema" xmlns:p="http://schemas.microsoft.com/office/2006/metadata/properties" xmlns:ns3="06a53220-0c4c-4caf-aeda-6fc0de59798d" xmlns:ns4="07b32b32-5ec8-401e-9d0e-fc8c9d9dfb2e" targetNamespace="http://schemas.microsoft.com/office/2006/metadata/properties" ma:root="true" ma:fieldsID="ce621af5d8d425d52d01277a6dd64543" ns3:_="" ns4:_="">
    <xsd:import namespace="06a53220-0c4c-4caf-aeda-6fc0de59798d"/>
    <xsd:import namespace="07b32b32-5ec8-401e-9d0e-fc8c9d9df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53220-0c4c-4caf-aeda-6fc0de597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32b32-5ec8-401e-9d0e-fc8c9d9df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95B37-C89A-4C88-9B47-96A73C7F5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3E46B-E184-4A2E-AE5D-8596D0744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53220-0c4c-4caf-aeda-6fc0de59798d"/>
    <ds:schemaRef ds:uri="07b32b32-5ec8-401e-9d0e-fc8c9d9df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3B431-DB08-418E-9ECD-595095ED5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4EEC9E-2CEC-4C8D-9282-E47F86C7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martinsp</dc:creator>
  <cp:lastModifiedBy>Silins, Janis {MWJC~Riga}</cp:lastModifiedBy>
  <cp:revision>2</cp:revision>
  <cp:lastPrinted>2015-02-13T10:25:00Z</cp:lastPrinted>
  <dcterms:created xsi:type="dcterms:W3CDTF">2022-03-11T13:14:00Z</dcterms:created>
  <dcterms:modified xsi:type="dcterms:W3CDTF">2022-03-11T13:14:00Z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0x0101008E53D01BCBFCE141B6289CFCCDC7E55E</vt:lpwstr>
  </property>
</Properties>
</file>