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tam ir izveidota iekšējās kontroles sistēma, kas ietver pārbaudīšanas, novēršanas un labošanas nosacījumus attiecībā uz korupcijas, krāpšanas, interešu konflikta un dubultā finansējuma vadības procesiem, kā arī nosacījumus apstākļu noteikšanai un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iekļauto jauno 17.9. apakšpunktu precizēt, norādot, uz ko attiecas prasība par iekšējās kontroles sistēmas izveidi. Norādām, ka, atbilstoši noteikumu projekta 17. punkta ievaddaļai, tajā noteikti</w:t>
            </w:r>
            <w:r w:rsidR="00000000" w:rsidRPr="00000000" w:rsidDel="00000000">
              <w:rPr>
                <w:u w:val="single"/>
                <w:rtl w:val="0"/>
              </w:rPr>
              <w:t xml:space="preserve"> projektu iesniegumu</w:t>
            </w:r>
            <w:r w:rsidR="00000000" w:rsidRPr="00000000" w:rsidDel="00000000">
              <w:rPr>
                <w:rtl w:val="0"/>
              </w:rPr>
              <w:t xml:space="preserve"> vērtēšanas kritēriji.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24.7.1. tam ir izstrādāta iekšējās kontroles sistēma korupcijas un interešu konflikta riska novēršanai, kas ietver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iekšējās kontroles sistēmas saturu nepieciešams noteikumu projektā regulēt tādā apjomā un tādā detalizācijas pakāpē, kā šobrīd norādīts noteikumu projekta jaunajās 24.7.1. apakšpunkta apakšvienībās. Ierosinām minētās apakšvienības svītrot vai vienkāršot, savukārt detalizētu informāciju par kontroles sistēmas saturu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24.7.2. noteicis pasākumus aizliegto vienošanos riska kontrolei;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precizētajā noteikumu projektā papildus iekļautajos 24.7.2. - 24.7.3.apakšpunktos noteiktie mehānismi un pasākumi ir nosakāmi kā atsevišķi dokumenti, kārtības vai tamlīdzīgi, vai tomēr iekļaujami 24.7.1.apakšpunktā minētājā iekšējās kontroles sistēmā korupcijas un interešu konflikta riska novēršanai. Norādām arī, ka noteikumu projekta 17.9.apakšpunktā norādītā iekšējās kontroles sistēma </w:t>
            </w:r>
            <w:r w:rsidR="00000000" w:rsidRPr="00000000" w:rsidDel="00000000">
              <w:rPr>
                <w:u w:val="single"/>
                <w:rtl w:val="0"/>
              </w:rPr>
              <w:t xml:space="preserve">ietver </w:t>
            </w:r>
            <w:r w:rsidR="00000000" w:rsidRPr="00000000" w:rsidDel="00000000">
              <w:rPr>
                <w:rtl w:val="0"/>
              </w:rPr>
              <w:t xml:space="preserve">pārbaudīšanas, novēršanas un labošanas nosacījumus attiecībā uz korupcijas, krāpšanas, interešu konflikta un dubultā finansējuma vadības procesiem, kā arī nosacījumus apstākļu noteikšanai un identificēšanai. No notiekumu projekta šobrīd nav skaidrs, vai 17.9.apakšpunktā un 24.7.1.apakšpunktā minētā sistēma ir viena un tā pati, vai arī tās ir atšķirīgas sistēmas, un kāds ir to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24.7.2. - 24.7.3.apakšpunkta numerāciju vai šos apakšpunktus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Biedrība kā finansējuma saņēmējs, nodrošinot pārbaudes dokumentēšanu, ir pārliecinājusies,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ārējo normatīvo aktu juridiskās tehnikas prasībām vārdus "ir pārliecinājusies" aizstāt ar vārdu "pārliecinās", "izvērtē",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Sniegt informāciju Atveseļošanas fonda plāna ieviešanas ziņojumu un progresa pārskatu Eiropas Komisijai sagatavošanai Atveseļošanas fonda plāna koordinatoram Finanšu ministrijai par investīcijas pasākuma mērķa rādītāju un mērķa sasniegšanu, pieprasot informāciju no investīcijas pasākuma finansējuma saņēmējiem un to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jauno noteikumu projekta 71.punktu, norādot subjektu, kam ir pienākums sniegt šajā punktā minēto informāciju un veikt citus punktā minētos pienākumus. Norādām arī, ka no punkta pašreizējās redakcijas pienākuma saturs nav viennozīmīgi skaidrs, un to nepieciešams precizēt (piemēram, nav skaidrs, vai ir pienākums sniegt informāciju vai AFP ieviešanas ziņojumu un progresa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18.08.2023.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18.08.2023.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Atzinumi_22-TA-593.docx</dc:title>
</cp:coreProperties>
</file>

<file path=docProps/custom.xml><?xml version="1.0" encoding="utf-8"?>
<Properties xmlns="http://schemas.openxmlformats.org/officeDocument/2006/custom-properties" xmlns:vt="http://schemas.openxmlformats.org/officeDocument/2006/docPropsVTypes"/>
</file>