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24-TA-2320: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Dzelzceļa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rtl w:val="0"/>
              </w:rPr>
              <w:t xml:space="preserve">"</w:t>
            </w:r>
            <w:r w:rsidR="00000000" w:rsidRPr="00000000" w:rsidDel="00000000">
              <w:rPr>
                <w:b w:val="1"/>
                <w:rtl w:val="0"/>
              </w:rPr>
              <w:t xml:space="preserve">IX nodaļa. Administratīvie pārkāpumi dzelzceļa pasažieru pārvadājumu jomā un kompetence administratīvo pārkāpumu procesā</w:t>
            </w:r>
            <w:r w:rsidR="00000000" w:rsidRPr="00000000" w:rsidDel="00000000">
              <w:rPr>
                <w:rtl w:val="0"/>
              </w:rPr>
              <w:t xml:space="preserve"> 
</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pants. Informācijas par dzelzceļa pasažieru pārvadājumu pakalpojumu pārtraukšanu nesniegšana</w:t>
            </w:r>
            <w:r w:rsidR="00000000" w:rsidRPr="00000000" w:rsidDel="00000000">
              <w:rPr>
                <w:rtl w:val="0"/>
              </w:rPr>
              <w:t xml:space="preserve">Par </w:t>
            </w:r>
            <w:r w:rsidR="00000000" w:rsidRPr="00000000" w:rsidDel="00000000">
              <w:rPr>
                <w:rtl w:val="0"/>
              </w:rPr>
              <w:t xml:space="preserve">regulas (ES) Nr. 2021/782 8. pantā</w:t>
            </w:r>
            <w:r w:rsidR="00000000" w:rsidRPr="00000000" w:rsidDel="00000000">
              <w:rPr>
                <w:rtl w:val="0"/>
              </w:rPr>
              <w:t xml:space="preserve">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49. pants. Palīdzības nesniegšana pasažierim vilciena kavējuma vai reisa atcelšanas gadījumā, kurā nepieciešama ārkārtas rīcība </w:t>
            </w:r>
            <w:r w:rsidR="00000000" w:rsidRPr="00000000" w:rsidDel="00000000">
              <w:rPr>
                <w:rtl w:val="0"/>
              </w:rPr>
              <w:t xml:space="preserve">
</w:t>
            </w:r>
            <w:r w:rsidR="00000000" w:rsidRPr="00000000" w:rsidDel="00000000">
              <w:rPr>
                <w:rtl w:val="0"/>
              </w:rPr>
              <w:t xml:space="preserve">(1)  Ja vilciena pienākšana vai atiešana ir aizkavējusies 60 minūtes vai vairāk vai ja vilciena reiss ir atcelts, par </w:t>
            </w:r>
            <w:r w:rsidR="00000000" w:rsidRPr="00000000" w:rsidDel="00000000">
              <w:rPr>
                <w:rtl w:val="0"/>
              </w:rPr>
              <w:t xml:space="preserve">regulas (ES) Nr. 2021/782 20. panta 2. punkta a) apakšpunktā</w:t>
            </w:r>
            <w:r w:rsidR="00000000" w:rsidRPr="00000000" w:rsidDel="00000000">
              <w:rPr>
                <w:rtl w:val="0"/>
              </w:rPr>
              <w:t xml:space="preserve"> paredzētās bezmaksas palīdzības pasažierim nepiedāvāšanu, nepiedāvājot maltītes un atspirdzinājumus apjomā, kas pamatoti atbilst gaidīšanas laikam, ja tie ir pieejami vilcienā vai stacijā vai tos iespējams saprātīgā veidā piegādāt, ņemot vērā tādus kritērijus kā attālums līdz piegādātājam, piegādei vajadzīgais laiks un izmaksas, piemēro naudas sodu pārvadātājam, kas nodrošina aizkavējušos vai atcelto reisu, — juridiskai personai —  līdz tūkstoš četrsimt soda vienībām.</w:t>
            </w:r>
            <w:r w:rsidR="00000000" w:rsidRPr="00000000" w:rsidDel="00000000">
              <w:rPr>
                <w:rtl w:val="0"/>
              </w:rPr>
              <w:t xml:space="preserve">(2) Ja vilciena pienākšana vai atiešana ir aizkavējusies 60 minūtes vai vairāk vai ja vilciena reiss ir atcelts, par </w:t>
            </w:r>
            <w:r w:rsidR="00000000" w:rsidRPr="00000000" w:rsidDel="00000000">
              <w:rPr>
                <w:rtl w:val="0"/>
              </w:rPr>
              <w:t xml:space="preserve">regulas (ES) Nr. 2021/782 20. panta 2. punkta b) apakšpunktā</w:t>
            </w:r>
            <w:r w:rsidR="00000000" w:rsidRPr="00000000" w:rsidDel="00000000">
              <w:rPr>
                <w:rtl w:val="0"/>
              </w:rPr>
              <w:t xml:space="preserve"> paredzētās bezmaksas palīdzības pasažierim nepiedāvāšanu, nepiedāvājot, ja ir jāpārnakšņo viena vai vairākas naktis vai ja ir jāuzturas ilgāk, izmitināšanu viesnīcā vai citur un, ja tas fiziski iespējams, pārvadāšanu starp dzelzceļa staciju un izmitināšanas vietu, piemēro naudas sodu pārvadātājam, kas nodrošina aizkavējušos vai atcelto reisu, — juridiskai personai —  līdz tūkstoš četrsimt soda vienībām.</w:t>
            </w:r>
            <w:r w:rsidR="00000000" w:rsidRPr="00000000" w:rsidDel="00000000">
              <w:rPr>
                <w:rtl w:val="0"/>
              </w:rPr>
              <w:t xml:space="preserve">(3) Ja vilciena pienākšana vai atiešana ir aizkavējusies 60 minūtes vai vairāk vai ja vilciena reiss ir atcelts, par </w:t>
            </w:r>
            <w:r w:rsidR="00000000" w:rsidRPr="00000000" w:rsidDel="00000000">
              <w:rPr>
                <w:rtl w:val="0"/>
              </w:rPr>
              <w:t xml:space="preserve">regulas (ES) Nr. 2021/782 20. panta 2. punkta c) apakšpunktā </w:t>
            </w:r>
            <w:r w:rsidR="00000000" w:rsidRPr="00000000" w:rsidDel="00000000">
              <w:rPr>
                <w:rtl w:val="0"/>
              </w:rPr>
              <w:t xml:space="preserve">paredzētās bezmaksas palīdzības pasažierim nepiedāvāšanu, nepiedāvājot, ja vilciens nespēj turpināt kustību ceļa posmā, pārvadāšanu, ja tas fiziski iespējams, no vilciena līdz dzelzceļa stacijai, alternatīvam pārvadājuma sākumpunktam vai galamērķim, piemēro naudas sodu pārvadātājam, kas nodrošina aizkavējušos vai atcelto reisu, — juridiskai personai —  līdz tūkstoš četrsimt soda vienībām.</w:t>
            </w:r>
            <w:r w:rsidR="00000000" w:rsidRPr="00000000" w:rsidDel="00000000">
              <w:rPr>
                <w:b w:val="1"/>
                <w:rtl w:val="0"/>
              </w:rPr>
              <w:t xml:space="preserve">50. pants. </w:t>
            </w:r>
            <w:r w:rsidR="00000000" w:rsidRPr="00000000" w:rsidDel="00000000">
              <w:rPr>
                <w:b w:val="1"/>
                <w:rtl w:val="0"/>
              </w:rPr>
              <w:t xml:space="preserve">Pārvietošanās palīglīdzekļu vai palīgierīču pagaidu aizvietošanas nenodrošināšanu personām ar invaliditāti vai personām ar ierobežotām pārvietošanās spējām</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regulas (ES) Nr. 2021/782 25. panta 2. punktā</w:t>
            </w:r>
            <w:r w:rsidR="00000000" w:rsidRPr="00000000" w:rsidDel="00000000">
              <w:rPr>
                <w:rtl w:val="0"/>
              </w:rPr>
              <w:t xml:space="preserve"> paredzētās pārvietošanās palīglīdzekļu vai palīgierīču pagaidu aizvietošanas nenodrošināšanu personām ar invaliditāti vai personām ar ierobežotām pārvietošanās spējām līdz kompensācijas par pārvietošanās palīglīdzekļiem, palīgierīcēm un servisa suņiem izmaksai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51.</w:t>
            </w:r>
            <w:r w:rsidR="00000000" w:rsidRPr="00000000" w:rsidDel="00000000">
              <w:rPr>
                <w:rtl w:val="0"/>
              </w:rPr>
              <w:t xml:space="preserve"> </w:t>
            </w:r>
            <w:r w:rsidR="00000000" w:rsidRPr="00000000" w:rsidDel="00000000">
              <w:rPr>
                <w:b w:val="1"/>
                <w:rtl w:val="0"/>
              </w:rPr>
              <w:t xml:space="preserve">pants. Pasažiera sūdzības izskatīšanai nepieciešamo datu nesaglabāšana</w:t>
            </w:r>
            <w:r w:rsidR="00000000" w:rsidRPr="00000000" w:rsidDel="00000000">
              <w:rPr>
                <w:rtl w:val="0"/>
              </w:rPr>
              <w:t xml:space="preserve">
</w:t>
            </w:r>
            <w:r w:rsidR="00000000" w:rsidRPr="00000000" w:rsidDel="00000000">
              <w:rPr>
                <w:rtl w:val="0"/>
              </w:rPr>
              <w:t xml:space="preserve">Par pasažiera sūdzības izskatīšanai nepieciešamo datu nesaglabāšanu </w:t>
            </w:r>
            <w:r w:rsidR="00000000" w:rsidRPr="00000000" w:rsidDel="00000000">
              <w:rPr>
                <w:rtl w:val="0"/>
              </w:rPr>
              <w:t xml:space="preserve">regulas (ES) Nr. 2021/782 28. panta 2. punktā</w:t>
            </w:r>
            <w:r w:rsidR="00000000" w:rsidRPr="00000000" w:rsidDel="00000000">
              <w:rPr>
                <w:rtl w:val="0"/>
              </w:rPr>
              <w:t xml:space="preserve"> noteiktajā termiņā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pants. Kompetence administratīvo pārkāpumu procesā</w:t>
            </w:r>
            <w:r w:rsidR="00000000" w:rsidRPr="00000000" w:rsidDel="00000000">
              <w:rPr>
                <w:rtl w:val="0"/>
              </w:rPr>
              <w:t xml:space="preserve">
</w:t>
            </w:r>
            <w:r w:rsidR="00000000" w:rsidRPr="00000000" w:rsidDel="00000000">
              <w:rPr>
                <w:rtl w:val="0"/>
              </w:rPr>
              <w:t xml:space="preserve">Administratīvā pārkāpuma procesu par šā likuma 48., 49., 50. un 51. pantā minētajiem pārkāpumiem veic Valsts dzelzceļa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uzturam iebildumu, ka nav ievērots administratīvā procesa prioritātes princips (likumprojekta 4.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29. aprīļa regulas (ES) 2021/782 par dzelzceļa pasažieru tiesībām un pienākumiem (turpmāk – Regula) 35. panta 1. punkts nosaka, ka dalībvalstis pieņem noteikumus par sankcijām, kas piemērojamas par šīs regulas pārkāpumiem, un veic visus vajadzīgos pasākumus, lai nodrošinātu to īstenošanu. Paredzētās sankcijas ir iedarbīgas, samērīgas un atturošas. Dalībvalstis paziņo Komisijai par šiem noteikumiem un pasākumiem un nekavējoties ziņo tai par jebkādiem turpmākiem grozījumiem, kas tos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50. apsvērumā norādīts, ka dalībvalstīm būtu jāparedz sankcijas, ko piemēro par šīs regulas pārkāpumiem, un jānodrošina to piemērošana. Sankcijām, kas varētu ietvert kompensācijas maksāšanu attiecīgajai personai, vajadzētu būt efektīvām, samērīgām un atturošām.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Regulā noteikto pienākumu par sankcijām, dalībvalsts var izmantot jebkāda veida sankcijas vai to kopumu (krimināltiesiskas, sodoša rakstura administratīvas sankcijas, nesodoša rakstura administratīvas sankcijas, civiltiesiskas sankcijas utt.). Attiecīgi katrai dalībvalstij, ņemot vērā nacionālo tiesību sistēmu, ir pienākums nodrošināt, lai Regula tiktu ievērota. Apstāklis, ka kāda cita valsts par Regulas pārkāpumiem paredz administratīvos naudas sodus nav arguments, lai Latvijas tiesību sistēmā automātiski paredzētu tādu pašu regulējumu. Latvijai ir jāparedz tāds regulējums, kas vislabāk atbilst Latvijas tiesību sistēmai un kas vislabāk sasniedz Regulas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likumprojekta 4. pantā ir saglabāti tādi pārkāpumi, par kuriem bija panākta vienošanās, ka par tiem nebūtu paredzama administratīvā atbildība. Ja vilciena pienākšana vai atiešana kavējas ilgāk par 60 minūtēm un pasažierim netiek piedāvāta bezmaksas palīdzība, proti, maltīte un atspirdzinājums, nakšņošana, vai pārvadāšana uz citu sabiedriskā transportlīdzekļa punktu, administratīvais sods šādā gadījumā nenodrošina regulas 2021/782 50. apsvērumā iekļauto kompensācijas maksāšanu attiecīgajai personai. Personai no pārvadātājam piemērotās administratīvās atbildības naudas soda veidā nebūs absolūti nekāda labuma. Pārvadātājs tiks sodīts, bet pasažierim no tā nebūs nekādas kompensācijas, ja vien pasažieris, piemēram, par nekompensēto maltīti un atspirdzinājumu, neiesniegs civiltiesisku prasību.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par Tieslietu ministrijas pausto iebildumu ir minēts, ka regulējums, kas paredz izpildvaras institūcijai tiesības uzdot privātpersonai kompensācijas maksāšanas pienākumu citai privātpersonai, neatbilst Latvijas tiesību sistēmai, jo šī kompetence ir piešķirta civillietu tiesām. Šādam apgalvojam nevaram piekrist. Valsts pārvaldes iestādes nedrīkst ar administratīvu aktu saistoši izlemt privāttiesisku strīdu. Tā kā šāda darbība uzskatāma par tiesas spriešanas funkciju, tad tā, ievērojot varas dalīšanas principu, neietilpst izpildvaras kompetencē. Tomēr administratīvā procesa ietvaros pieņemti lēmumi Latvijas tiesību sistēmā visai bieži ietekmē privāttiesiskas attiecības,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administratīvais akts, kas saskaņā ar tiesību normu nodibina, groza vai izbeidz privāttiesiskas attiecības. Piemēram, pašvaldība izmanto likumā noteiktās pirmpirkuma tiesības un jau noslēgtā pirkuma līgumā kļūst par pircēju, sabiedrisko pakalpojumu regulēšanas komisijas lēmums par tarifiem nosaka jaunu pakalpojuma cenu, bāriņtiesas lēmums par aprūpes tiesību atņemšanu vecākiem groza privāttiesiskas attiecības starp vecāku un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pārvaldes izdots administratīvais akts var būt kā viens no privāttiesiska prasījuma priekšnoteikumiem. Konstatējošs administratīvs akts ir tāds lēmums (atzinums), kas saistoši un nemainīgi nostiprina kādas tiesiskas attiecības vai faktisko situāciju, no kuras saskaņā ar tiesību normām izriet atsevišķas indivīda tiesības (pienākumi). Piemēram, Darba aizsardzības likuma 19. pants noteic, ka darba devēja pienākums ir izmaksāt nodarbinātajam atlīdzību, kas nav mazāka par sešu mēnešu vidējo izpeļņu pie noteiktiem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administratīvais akts, kas uzliek pienākumu nodibināt, grozīt vai izbeigt privāttiesiskas attiecības. Tipiski šādu administratīvo aktu piemēri ir administratīvie akti, ar kuru Patērētāju tiesību aizsardzības centrs uzdot grozīt vai turpmāk nepiemērot kādu ar patērētāju noslēgtajā līgumā ietvertu punktu vai arī uzdod grozīt turpmāk slēdzamos tipveida līgumus. Par šo administratīvo aktu neizpildi var piemērot piespiedu naudu. Administratīvā akta adresāts ir persona, kas privāttiesiskās attiecībās neievēro likumu - šāds administratīvais akts pats par sevi neietekmē privāttiesiskas attiecības saturu (</w:t>
            </w:r>
            <w:r w:rsidR="00000000" w:rsidRPr="00000000" w:rsidDel="00000000">
              <w:rPr>
                <w:i w:val="1"/>
                <w:rtl w:val="0"/>
              </w:rPr>
              <w:t xml:space="preserve">skatīt Danovskis E. Publisko un privāto tiesību dalījuma nozīme un piemērošanas problēmas Latvijā. Rīga: Latvijas Vēstnesis, 2015, 127-131.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pieminētie piemēri, kad administratīvā procesa ietvaros pieņemts lēmums ietekmē privāttiesiskas attiecības, ir ilustratīvi un nav izsmeļoši.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neparedzēt administratīvo atbildību par tādiem pārkāpumiem, kurus var novērst ar administratīvi tiesiskiem vai citiem nesodoša rakstura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Tieslietu ministrijas 2025. gada 9. janvāra atzinumā ietverto iebildumu Nr. 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Projekta anotācijā tikai daļēji ir izvērtēti administratīvās atbildības nepieciešamības un pieļaujamības kritēriji</w:t>
            </w:r>
            <w:r w:rsidR="00000000" w:rsidRPr="00000000" w:rsidDel="00000000">
              <w:rPr>
                <w:rtl w:val="0"/>
              </w:rPr>
              <w:t xml:space="preserve">, tādēļ atkārtoti lūdzam precizēt anotāciju atbilstoši Tieslietu ministrijas iebildumam par projektā paredzēto grozāmā likuma IX nodaļu. Aicinām kā piemēru skatīt Ugunsdrošības, ugunsdzēsības un glābšanas darbu likuma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administratīvās atbildības kritēriji nav administratīvās atbildības sistēmas estētisks elements vai lieks apgrūtinājums normu izstrādātājiem un pieņēmējiem. To izvērtējums ir būtisks, lai nodrošinātu regulējuma atbilstību tiesiskās noteiktības principam. Ja likumdevējs reiz ir izveidojis vai akceptējis noteiktus administratīvās atbildības noteikšanas pamatprincipus, tad arī to konkretizējumam normatīvajos aktos un piemērošanas praksē jābūt konsekventam (</w:t>
            </w:r>
            <w:r w:rsidR="00000000" w:rsidRPr="00000000" w:rsidDel="00000000">
              <w:rPr>
                <w:i w:val="1"/>
                <w:rtl w:val="0"/>
              </w:rPr>
              <w:t xml:space="preserve">sal. Danovskis E. Publisko un privāto tiesību dalījuma nozīme un piemērošanas problēmas Latvijā. Rīga: Latvijas Vēstnesis, 2015, 187.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Projekta anotācijā iekļaujams pamatojums izvēlētajam soda veidam un apmēram atbilstoši Tieslietu ministrijas norādītajiem kritērijiem</w:t>
            </w:r>
            <w:r w:rsidR="00000000" w:rsidRPr="00000000" w:rsidDel="00000000">
              <w:rPr>
                <w:rtl w:val="0"/>
              </w:rPr>
              <w:t xml:space="preserve">. Skaidrojums, ka soda apmērs noteikts kā samērīgs, ņemot vērā tirgus dalībnieku lielumu un soda mērķi,  ka tam jābūt atturošam, nepamato tā apmēru, tiklab par pārkāpumiem varētu piemērot arī naudas sodu 4000 naudas soda vienību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Peņkovska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pārejas noteikumu 35.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Ministru kabineta 2009. gada 3. februāra noteikumu Nr. 108 "Normatīvo aktu projektu sagatavošanas noteikumi" 71. punktam konkrēto vienību izteikt kā projekta 5. pantu, neveidojot atsevišķu projekta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projektu, izslēdzot pārejas noteikumu 35. punktu, pirmšķietami varētu būt pārņemtas Eiropas Parlamenta un Padomes 2012. gada 21. novembra Direktīvas 2012/34/ES, ar ko izveido vienotu Eiropas dzelzceļa telpu (pārstrādāta redakcija), prasības (sk. piem., direktīvas 29., 39. punktu), tādēļ lūdzam atbilstoši papildināt projekta anotācijas 5. sadaļu, jo īpaši 5.4. apakšsadaļas 1. tabulu, skaidrojot šīs direktīvas prasību pārņemšanu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20.01.2026.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20.01.2026.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Atzinumi_24-TA-2320.docx</dc:title>
</cp:coreProperties>
</file>

<file path=docProps/custom.xml><?xml version="1.0" encoding="utf-8"?>
<Properties xmlns="http://schemas.openxmlformats.org/officeDocument/2006/custom-properties" xmlns:vt="http://schemas.openxmlformats.org/officeDocument/2006/docPropsVTypes"/>
</file>