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 nodrošina horizontālo principu “Vienlīdzība, iekļaušana, nediskriminācija un pamattiesību ievērošana” ievērošanu, datu uzkrāšanu un to ievadi Kohēzijas politikas fondu vadības informācijas sistēmā projekta īstenošanas laikā, tostarp par rādītāju: "Objektu skaitu, kuros Eiropas Reģionālās attīstības fonda ieguldījumu rezultātā ir nodrošināta vides un informācijas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HP rādītāja nosaukumu: Objektu skaits, kuros Eiropas Reģionālās attīstības fonda ieguldījumu rezultātā ir nodrošināta vides un informācijas piekļūstamība".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14.01.2025.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14.01.2025.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