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mērķa grupa ir: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pie 3. punkta, kā investīcijas mērķa grupas, arī Centrālo statistikas pārvaldi.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anotācijā minēto: "Lai valstiskā līmenī optimizētu resursus, pēc Centrālās statistikas pārvaldes (turpmāk – CSP) ierosinājuma, sadarbībā ar CSP jaunais prognozēšanas rīks tiks pielāgots arī Eiropas Parlamenta un Padomes 2013. gada 21. maija Regulā (ES) Nr. 549/2013 par Eiropas nacionālo un reģionālo kontu sistēmu Eiropas Savienībā noteikto uzdevumu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mērķa grupa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Labklājības ministrija un Valsts sociālās apdrošināšanas aģentūra (turpmāk –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Centrālā statistikas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valsts sociālās apdrošināšanas sistēmas dalībnieki.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Stelmaka-Leja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punktu </w:t>
            </w:r>
            <w:r w:rsidR="00000000" w:rsidRPr="00000000" w:rsidDel="00000000">
              <w:rPr>
                <w:b w:val="1"/>
                <w:rtl w:val="0"/>
              </w:rPr>
              <w:t xml:space="preserve">3.1.2.2.i. investīcijas mērķa grupa ir publiskās pārvaldes iestādes (LM un VSAA) un valsts sociālās apdrošināšanas sistēmas dalībnieki</w:t>
            </w:r>
            <w:r w:rsidR="00000000" w:rsidRPr="00000000" w:rsidDel="00000000">
              <w:rPr>
                <w:rtl w:val="0"/>
              </w:rPr>
              <w:t xml:space="preserve">, pievienojot arī CSP.  Saistībā ar anotācijā minēto: "Lai valstiskā līmenī optimizētu resursus, pēc Centrālās statistikas pārvaldes (turpmāk – CSP) ierosinājuma, sadarbībā ar CSP jaunais prognozēšanas rīks tiks pielāgots arī Eiropas Parlamenta un Padomes 2013. gada 21. maija Regulā (ES) Nr. 549/2013 par Eiropas nacionālo un reģionālo kontu sistēmu Eiropas Savienībā noteikto uzdevumu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3.1.2.2.i. investīcijas mērķa grupa ir publiskās pārvaldes iestādes (LM, CSP un VSAA) un valsts sociālās apdrošināšanas sistēmas dalībnieki,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Stelmaka-Leja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ieņēmumu-izdevumu tabulu ar izdevumu aprēķinu atbilstoši 2022. gada 10. maija informatīvajā ziņojumā minētajam (tabulas 6.2. punkts  detalizēts izdevumu aprēķins).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Ozols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11.04.2024. 23.47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11.04.2024. 23.47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