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52.</w:t>
            </w:r>
            <w:r w:rsidR="00000000" w:rsidRPr="00000000" w:rsidDel="00000000">
              <w:rPr>
                <w:vertAlign w:val="superscript"/>
                <w:rtl w:val="0"/>
              </w:rPr>
              <w:t xml:space="preserve">1</w:t>
            </w:r>
            <w:r w:rsidR="00000000" w:rsidRPr="00000000" w:rsidDel="00000000">
              <w:rPr>
                <w:rtl w:val="0"/>
              </w:rPr>
              <w:t xml:space="preserve"> panta otro un trešo daļu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Bērnu aizsardzības centrs, lai nodrošinātu šā panta pirmajā daļā noteiktos starpinstitucionālās sadarbības programmas "Bērna māja" darbības mērķu izpildi, valsts informācijas sistēmā apstrādā personas datus par starpinstitucionālās sadarbības programmas “Bērna māja” ietvaros sniegtajiem pakalpojumiem un veicamajām darbībām, par starpinstitucionālās sadarbības programmā “Bērna māja”” uzņemtajiem bērniem, pakalpojumu sniegšanā bērniem iesaistītajām personām, bērnu nevardarbīgajiem tuviniekiem un likumiskajiem pārstāvjiem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Starpinstitucionālās sadarbības programmas "Bērna māja" ietvaros kompetentās institūcijas informācijas sistēmā apstrādā šādus personas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vardarbībā cietušā bērna labākajām interesēm atbilstošu intervences pasākumu, tai skaitā bērna vajadzību un risku izvērtēšanu, medicīnisko, psiholoģisko un sociālo atbalstu bērnam un tā nevardarbīgajam tuviniekam nodrošināšanai vienuviet - vardarbībā cietušā bērna un ar viņu saistīto citu personu personas datus un veselības datus, kas noteikti normatīvajos aktos par kārtību, kādā tiek īstenota starpinstitucionālās sadarbības programma "Bērna māja" un ir nepieciešami atbalsta un palīdzības 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kriminālprocesuālo darbību veikšanas nodrošināšanai ar bērniem, kuri cietuši no noziedzīgiem nodarījumiem pret tikumību un dzimumneaizskaramību, kā arī no Krimināllikuma 125. panta otrās daļas 9. punktā, 126. panta otrās daļas 7. punktā, 130. panta trešās daļas 6. punktā un 174. pantā minētajiem noziedzīgajiem nodarījumiem - vardarbībā cietušā bērna un ar viņu saistīto citu personu personas datus un veselības datus Kriminālprocesa likumā un normatīvajos aktos par kārtību, kādā tiek īstenota starpinstitucionālās sadarbības programma "Bērna māja" noteiktajā apjomā. Ja pēc procesa virzītāja lūguma saņemšanas tiek nodrošināta iespēja veikt bērna pratināšanu, attiecīgās kriminālprocesuālās darbības norisi fiksē skaņu vai skaņu un attēlu ierakstā (ar tehniskiem līdzekļiem), ņemot vērā Kriminālprocesa likuma 152.panta pirmajā, ceturtajā, piektajā un astotajā daļā, kā arī 153.panta otrajā un trešajā dāļā ietvertos priekšrakstus un minētās informācijas apstrādes nosacījumus;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koordinēšanai un informācijas apmaiņas nodrošināšanai starp kompetentajām institūcijām  - vardarbībā cietušā bērna un ar viņu saistīto citu personu personas datus un veselības datus, kas nepieciešami šo kompetento institūciju normatīvajos aktos noteiktās funkcijas un uzdevuma -  vardarbības pret bērnu gadījuma vadīšanā, neveicot atkārtotu vienas un tās pašas informācijas ieguvi no bērna (atkārtotu bērna iztaujāšanu u. tml.), kā arī saņemtās informācijas uzkrāšanas nodrošināšanai un statistikas datu analīzei. Ja pēc sociālā dienesta, bāriņtiesas vai valsts sabiedrības ar ierobežotu atbildību "Bērnu klīniskā universitātes slimnīca" lūguma saņemšanas tiek nodrošināta iespēja veikt bērna iztaujāšanu ar psihologa starpniecību (strukturētu psihologa sarunu ar bērnu), attiecīgās psihologa sarunas ar bērnu norisi fiksē, veicot video ierakstu."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noteikuma projekta 2.punktu, ar kuru Bērnu tiesību aizsardzības likuma 52.</w:t>
            </w:r>
            <w:r w:rsidR="00000000" w:rsidRPr="00000000" w:rsidDel="00000000">
              <w:rPr>
                <w:vertAlign w:val="superscript"/>
                <w:rtl w:val="0"/>
              </w:rPr>
              <w:t xml:space="preserve">1</w:t>
            </w:r>
            <w:r w:rsidR="00000000" w:rsidRPr="00000000" w:rsidDel="00000000">
              <w:rPr>
                <w:rtl w:val="0"/>
              </w:rPr>
              <w:t xml:space="preserve"> panta 3.daļa izteikta jaunā redakcijā, pirms vārdiem “informācijas sistēmā” lietojot vārdu “valsts”. Vienlaikus lūdzam precizēt MK noteikuma projekta 2.punktu, ar kuru Bērnu tiesību aizsardzības likuma 52.</w:t>
            </w:r>
            <w:r w:rsidR="00000000" w:rsidRPr="00000000" w:rsidDel="00000000">
              <w:rPr>
                <w:vertAlign w:val="superscript"/>
                <w:rtl w:val="0"/>
              </w:rPr>
              <w:t xml:space="preserve">1 </w:t>
            </w:r>
            <w:r w:rsidR="00000000" w:rsidRPr="00000000" w:rsidDel="00000000">
              <w:rPr>
                <w:rtl w:val="0"/>
              </w:rPr>
              <w:t xml:space="preserve">panta 3.daļas 3.punkts izteikts jaunā redakcijā, pēc vārdiem “funkcijas un uzdevuma” lietojot vārdu “izpildei” vai citu vārdu atbilstoši iekļautajam tekstam.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24.11.2025.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24.11.2025.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Atzinumi_25-TA-722.docx</dc:title>
</cp:coreProperties>
</file>

<file path=docProps/custom.xml><?xml version="1.0" encoding="utf-8"?>
<Properties xmlns="http://schemas.openxmlformats.org/officeDocument/2006/custom-properties" xmlns:vt="http://schemas.openxmlformats.org/officeDocument/2006/docPropsVTypes"/>
</file>