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Sodu izpildes kodeksā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ietvert redakcionālā rakstura priekšlikumu (sk. precizējumu Italic fontā)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otrajā, trešajā, ceturtajā un piektajā daļā minētais neattiecas uz notiesātajiem, kuri izcieš sodu atklātajā cietumā, izņemot gadījumus, kad šāds notiesātais iesniedz maksājumu pakalpojumu sniedzēja atteikumu maksājumu konta vai kredītiestādes atteikumu patērētāja pamatkonta atvēršanai vai informāciju par konta slēgšanu vai vienpusēju </w:t>
            </w:r>
            <w:r w:rsidR="00000000" w:rsidRPr="00000000" w:rsidDel="00000000">
              <w:rPr>
                <w:i w:val="1"/>
                <w:rtl w:val="0"/>
              </w:rPr>
              <w:t xml:space="preserve">darījuma attiecību, vai līguma </w:t>
            </w:r>
            <w:r w:rsidR="00000000" w:rsidRPr="00000000" w:rsidDel="00000000">
              <w:rPr>
                <w:rtl w:val="0"/>
              </w:rPr>
              <w:t xml:space="preserve">izbeigšanu </w:t>
            </w:r>
            <w:r w:rsidR="00000000" w:rsidRPr="00000000" w:rsidDel="00000000">
              <w:rPr>
                <w:i w:val="1"/>
                <w:rtl w:val="0"/>
              </w:rPr>
              <w:t xml:space="preserve">pēc maksājumu pakalpojumu sniedzēja iniciatīvas</w:t>
            </w:r>
            <w:r w:rsidR="00000000" w:rsidRPr="00000000" w:rsidDel="00000000">
              <w:rPr>
                <w:rtl w:val="0"/>
              </w:rPr>
              <w:t xml:space="preserve"> Noziedzīgi iegūtu līdzekļu legalizācijas un terorisma un proliferācijas finansēšanas novēršanas likuma vai Maksājumu pakalpojumu un elektroniskās naudas likumā noteiktajos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 punkta "Citi grozījumi kriminālsodu izpildes regulējuma pilnveidošanai" piekto teikumu jaunā redakcijā, ietverot tajā redakcionālos precizējumus (sk. precizējumus Italic fontā).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projekts paredz noteikt, ka Kodeksa 48.panta pirmajā, otrajā, trešajā, ceturtajā un piektajā daļā minētais regulējums par notiesāto naudas uzglabāšanu neattiecas uz notiesātajiem, kuri izcieš sodu atklātajā cietumā, izņemot gadījumus, kad šāds notiesātais iesniedz maksājumu pakalpojumu sniedzēja atteikumu maksājumu konta vai kredītiestādes atteikumu patērētāja pamatkonta atvēršanai vai informāciju par konta slēgšanu vai vienpusēju </w:t>
            </w:r>
            <w:r w:rsidR="00000000" w:rsidRPr="00000000" w:rsidDel="00000000">
              <w:rPr>
                <w:i w:val="1"/>
                <w:rtl w:val="0"/>
              </w:rPr>
              <w:t xml:space="preserve">darījuma attiecību vai līguma</w:t>
            </w:r>
            <w:r w:rsidR="00000000" w:rsidRPr="00000000" w:rsidDel="00000000">
              <w:rPr>
                <w:rtl w:val="0"/>
              </w:rPr>
              <w:t xml:space="preserve"> izbeigšanu </w:t>
            </w:r>
            <w:r w:rsidR="00000000" w:rsidRPr="00000000" w:rsidDel="00000000">
              <w:rPr>
                <w:i w:val="1"/>
                <w:rtl w:val="0"/>
              </w:rPr>
              <w:t xml:space="preserve">pēc maksājumu pakalpojumu sniedzēja  iniciatīvas </w:t>
            </w:r>
            <w:r w:rsidR="00000000" w:rsidRPr="00000000" w:rsidDel="00000000">
              <w:rPr>
                <w:rtl w:val="0"/>
              </w:rPr>
              <w:t xml:space="preserve">Noziedzīgi iegūtu līdzekļu legalizācijas un terorisma un proliferācijas finansēšanas novēršanas likuma vai Maksājumu pakalpojumu un elektroniskās naudas likumā noteiktajos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14.11.2023.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14.11.2023.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Atzinumi_22-TA-3178.docx</dc:title>
</cp:coreProperties>
</file>

<file path=docProps/custom.xml><?xml version="1.0" encoding="utf-8"?>
<Properties xmlns="http://schemas.openxmlformats.org/officeDocument/2006/custom-properties" xmlns:vt="http://schemas.openxmlformats.org/officeDocument/2006/docPropsVTypes"/>
</file>