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25-TA-1669: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2.6.1. specifiskā atbalsta mērķa "Veicināt enerģijas starpsavienojumu un saistītās pārvades, sadales, uzglabāšanas un atbalsta infrastruktūras izbūvi, kā arī kritiskās enerģētikas infrastruktūras aizsardzību un uzlādes infrastruktūras izvēršanu" 2.6.1.2. pasākuma "Attīstīt viedas energosistēmas, tīklus un enerģijas akumulāciju ārpus Eiropas enerģētikas tīkla" (TEN-E)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Eiropas Savienības fondu 2021.–2027. gada plānošanas perioda vadības likuma 19. panta 13. un 14.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atsauci uz deleģējumu, uz kura pamata izdodams noteikumu projekts. Proti, lūdzam svītrot atsauci uz Eiropas Savienības fondu 2021.–2027. gada plānošanas perioda vadības likuma 19. panta </w:t>
            </w:r>
            <w:r w:rsidR="00000000" w:rsidRPr="00000000" w:rsidDel="00000000">
              <w:rPr>
                <w:u w:val="single"/>
                <w:rtl w:val="0"/>
              </w:rPr>
              <w:t xml:space="preserve">14. punktu</w:t>
            </w:r>
            <w:r w:rsidR="00000000" w:rsidRPr="00000000" w:rsidDel="00000000">
              <w:rPr>
                <w:rtl w:val="0"/>
              </w:rPr>
              <w:t xml:space="preserve">, ņemot vērā, ka noteikumu projekts neregulē </w:t>
            </w:r>
            <w:r w:rsidR="00000000" w:rsidRPr="00000000" w:rsidDel="00000000">
              <w:rPr>
                <w:u w:val="single"/>
                <w:rtl w:val="0"/>
              </w:rPr>
              <w:t xml:space="preserve">finanšu instrumentu</w:t>
            </w:r>
            <w:r w:rsidR="00000000" w:rsidRPr="00000000" w:rsidDel="00000000">
              <w:rPr>
                <w:rtl w:val="0"/>
              </w:rPr>
              <w:t xml:space="preserve"> īstenošanas kārtību, pieejamo finansējumu, atbalstāmo darbību un izmaksu attiecināmības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atsauci ar minētā likuma 19. panta </w:t>
            </w:r>
            <w:r w:rsidR="00000000" w:rsidRPr="00000000" w:rsidDel="00000000">
              <w:rPr>
                <w:u w:val="single"/>
                <w:rtl w:val="0"/>
              </w:rPr>
              <w:t xml:space="preserve">6. punktu</w:t>
            </w:r>
            <w:r w:rsidR="00000000" w:rsidRPr="00000000" w:rsidDel="00000000">
              <w:rPr>
                <w:rtl w:val="0"/>
              </w:rPr>
              <w:t xml:space="preserve">, ņemot vērā, ka noteikumu projekts paredz vienkāršoto izmaksu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Izrietoši lūdzam arī papildināt noteikumu projektu ar 1.6.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vienkāršoto izmaksu piemērošanas nosacījumus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Izdoti saskaņā ar Eiropas Savienības fondu 2021.–2027. gada plānošanas perioda vadības likuma 19. panta 6. un 13.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pasākuma īstenošanai plānotais un pieejamais kopējais attiecināmais finansējums ir 36 470 588</w:t>
            </w:r>
            <w:r w:rsidR="00000000" w:rsidRPr="00000000" w:rsidDel="00000000">
              <w:rPr>
                <w:i w:val="1"/>
                <w:rtl w:val="0"/>
              </w:rPr>
              <w:t xml:space="preserve"> euro</w:t>
            </w:r>
            <w:r w:rsidR="00000000" w:rsidRPr="00000000" w:rsidDel="00000000">
              <w:rPr>
                <w:rtl w:val="0"/>
              </w:rPr>
              <w:t xml:space="preserve">, tai skaitā ERAF finansējums – 31 000 000 </w:t>
            </w:r>
            <w:r w:rsidR="00000000" w:rsidRPr="00000000" w:rsidDel="00000000">
              <w:rPr>
                <w:i w:val="1"/>
                <w:rtl w:val="0"/>
              </w:rPr>
              <w:t xml:space="preserve">euro</w:t>
            </w:r>
            <w:r w:rsidR="00000000" w:rsidRPr="00000000" w:rsidDel="00000000">
              <w:rPr>
                <w:rtl w:val="0"/>
              </w:rPr>
              <w:t xml:space="preserve"> un nacionālais līdzfinansējums, ko nodrošina no valsts budžeta līdzekļiem –  5 470 588 </w:t>
            </w:r>
            <w:r w:rsidR="00000000" w:rsidRPr="00000000" w:rsidDel="00000000">
              <w:rPr>
                <w:i w:val="1"/>
                <w:rtl w:val="0"/>
              </w:rPr>
              <w:t xml:space="preserve">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pasākuma ietvaros finansējuma saņēmējs ir akciju sabiedrība "Augstsprieguma tīkls" un akciju sabiedrība "Sadales tīkls", lūdzam anotācijā sniegt pamatojumu nacionālā līdzfinansējuma nodrošināšanai no valsts budžeta līdzekļiem.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Prasības projekta iesniedzējam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ir plānota ierobežota projektu atlase ar vairākiem projektiem, kas pārsniegs 1 milj. euro, anotācijā nav novērtēts ieguldījumu lietderīgums atlases līmenī, kā arī noteikumos netiek paredzēta izmaksu un ieguvumu analīzes sagatavošana projektu līmenī. Turklāt anotācijā ir kļūdaini secināts, ka izmaksu un ieguvumu izstrāde nav nepieciešama. Tātad noteikumu projektā nav ievērots MK noteikumu Nr.408 (13.07.2023) protokollēmums nosaka: "[..]atbildīgā iestāde, izstrādājot Ministru kabineta noteikumu projektu par specifiskā atbalsta mērķa īstenošanu, paredz nepieciešamību finansējuma saņēmējam veikt izvērtējumu par izmaksu un ieguvumu analīzi Eiropas Savienības fondu projektiem, kuru atlase paredzēta ierobežotas projektu iesniegumu atlases veidā un projekta kopējās izmaksas (ieskaitot PVN) pārsniedz 1 miljonu euro. Atbildīgā iestāde minēto risinājumu var nepiemērot, ja to objektīvi un izvērsti pamato Ministru kabineta noteikumu par specifisko atbalsta mērķa īstenošanu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izmaksu un ieguvumu analīze ir jāparedz iesniegt projektu iesniedzējiem, attiecīgi - jāpapildina MK noteikumi. Vai varbūt iespējams novērtēt visu specifiskā atbalsta mērķa investīciju lietderību jau atlases līmenī, attiecīgi veiktās ekonomiskās analīzes rezultātus atspoguļot anotācijai, un pielikumā pievienojot aprēķinu modeli.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 atbilstoši izvēlētajam variantam jāprecizē arī anotācija.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Ausmane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ar projekta iesniegumu un īstenošanu saistītās pamatojošās dokumentācijas sagatavošanas izmaksas, kas nav radušās uz darba līguma pamata, kopā nepārsniedzot 10 procentus no projekta kopējām attiecināmajām izmaksām, tai skaitā: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16.1. apakšpunktu šādā redakcijā: "izņemot izmaksas par projekta iesnieguma informācijas sagatavošanu un aizpildīšanu Kohēzijas politikas fondu vadības informācijas sistēmā", jo atbilstoši Eiropas Savienības fondu vadošās iestādes vadlīniju Nr.1.2. "Vadlīnijas attiecināmo izmaksu noteikšanai Eiropas Savienības kohēzijas politikas programmas 2021.-2027.gada plānošanas periodā" 33.punktam šīs izmaksas nav attiecināmas.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16.1.1. izmaksas par ekspertu konsultācijām, kas nepieciešamas projekta sekmīgai realizācijai, nepārsniedzot piecus procentus no projekta kopējām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noteikumu projekta 16.1.1.apakšpunktā minētās ekspertu konsultācijas nav uzskatāmas par projekta īstenošanas personālu, nepieciešamības gadījumā anotāciju papildinot ar skaidrojumu par šo ekspertu atšķirību no projekta īstenošanas personāla. Vienlaikus, ja tas ir projekta īstenošanas personāls, aicinām to iekļaut pie noteikumu projekta 16.9.apakšpunkta.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noteikumu projekta 16.4.apakšpunktu, lai nodrošinātu, ka projektā netiktu plānoti labiekārtošanas darbi, kam nav tieša saistība ar projekta mērķu un rezultātu.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  teritorijas labiekārtošanas izmaksas, nepārsniedzot 10 procentus no projekta kopējām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projekta 16.4.apakšpunktā noteikto procentuālo apjomu teritorijas labiekārtošanas izmaksām, jo no Eiropas Reģionālās attīstības fonda ir atbalstāmi ilgtspējīgi ieguldījumi konkrētu mērķu un rādītāju sasniegšanai, tādēļ labas finanšu pārvaldības ietvaros teritorijas labiekārtošanas izmaksas ir nosakāmas minimālā apjomā tikai attiecīgas projekta īstenošanas vietas (objekta) nodošanai ekspluatācijā.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Pukse (FM) (Irma Bondare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 projekta komunikācijas un vizuālās identitātes prasību nodrošināšanas izmaksas. Attiecināmajās izmaksās iekļauj tikai obligātās Eiropas Savienības fondu komunikācijas un vizuālās identitātes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Savienības fondu vadošās iestādes vadlīniju Nr.1.2. "Vadlīnijas attiecināmo izmaksu noteikšanai Eiropas Savienības kohēzijas politikas programmas 2021.-2027.gada plānošanas periodā" 5.2. apakšpunktam un 15. punktam, izmaksas obligāto komunikācijas un vizuālās identitātes prasību nodrošināšanai ir uzskatāmas par projekta netiešajām attiecināmajām izmaksām. Lūdzam šīs izmaksas plānot kā projekta netiešās attiecināmās izmaksas un attiecīgi precizēt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 tiešās attiecināmās projekta vadības personāla izmaksas, kuras saskaņā ar regulas Nr. 2021/1060 55. panta 1. punktu projekta iesniegumā plāno kā vienu izmaksu pozīciju, piemērojot izmaksu vienoto likmi sešu procentu apmērā no šo noteikumu 16. punktā minētajām pārējām tiešajām attiecināmajām izmaksām, kas nav tiešās attiecināmās personāla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vadības personāla izmaksu likmes apmēru saskaņot ar Eiropas Savienības fondu vadošo iestādi, nosūtot aprēķinus uz sco@fm.gov.lv. Vienlaikus  lūdzam anotācijā papildināt ar šādu informāciju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likmes aprēķinu, t.i., kā likme tika aprēķināta;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funkciju un izmaksu nošķiršanu no likmē ietvertā personāla un tam paredzētajām izmaksām un pārējām darbībām un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2.6.1. specifiskā atbalsta mērķa "Veicināt enerģijas starpsavienojumu un saistītās pārvades, sadales, uzglabāšanas un atbalsta infrastruktūras izbūvi, kā arī kritiskās enerģētikas infrastruktūras aizsardzību un uzlādes infrastruktūras izvēršanu" 2.6.1.2. pasākuma "Attīstīt viedas energosistēmas, tīklus un enerģijas akumulāciju ārpus Eiropas enerģētikas tīkla" (TEN-E)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lietoto 2.6.1.2.pasākuma nosaukumu, jo, ņemot vērā Klimata un enerģētikas ministrijas 2025.gada 13.oktobra e-pastā sniegto informāciju, minētā pasākuma nosaukums tiks precizēts uz "Enerģētiskās drošības infrastruktūras attīstība" un šobrīd lietotais pasākuma nosaukums atbilst specifiskā atbalsta mērķa nosaukumam enerģētikas jomā, kas noteikts regulas (ES) 2021/1058 3.panta 1.punkta "b"" apakšpunkta "iii" apakšpunktā [1] "Attīstīt viedas energosistēmas, tīklus un enerģijas akumulāciju ārpus Eiropas enerģētikas tīkla" (TEN-E)".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 Eiropas Parlamenta un Padomes 2021.gada 24.jūnija Regula (ES) 2021/1058 par Eiropas Reģionālās attīstības fondu un Kohēzijas fondu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Pukse (FM) (Irma Bondare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rezultāta rādītājs: elektroapgādes drošuma palielināšana iedzīvotājiem. Rezultāta rādītāja vērtība tiek sasniegta, ja pasākuma projektu ietvaros palielināts elektroapgādes drošums 1 871 882 iedzīvotājiem.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6.3.apakšpunktā noteikto rezultāta radītāja sasniedzamo vērtību uz 1 860 565 iedzīvotājiem, atbilstoši Klimata un enerģētikas ministrijas 2025.gada 13.oktobrī iesūtītajiem tehniskajiem precizējumiem Eiropas Savienības kohēzijas politikas programmas 2021.-2027.gadam grozījumiem.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Pukse (FM) (Irma Bondare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pasākuma īstenošanai plānotais un pieejamais kopējais attiecināmais finansējums ir 36 470 588</w:t>
            </w:r>
            <w:r w:rsidR="00000000" w:rsidRPr="00000000" w:rsidDel="00000000">
              <w:rPr>
                <w:i w:val="1"/>
                <w:rtl w:val="0"/>
              </w:rPr>
              <w:t xml:space="preserve"> euro</w:t>
            </w:r>
            <w:r w:rsidR="00000000" w:rsidRPr="00000000" w:rsidDel="00000000">
              <w:rPr>
                <w:rtl w:val="0"/>
              </w:rPr>
              <w:t xml:space="preserve">, tai skaitā ERAF finansējums – 31 000 000 </w:t>
            </w:r>
            <w:r w:rsidR="00000000" w:rsidRPr="00000000" w:rsidDel="00000000">
              <w:rPr>
                <w:i w:val="1"/>
                <w:rtl w:val="0"/>
              </w:rPr>
              <w:t xml:space="preserve">euro</w:t>
            </w:r>
            <w:r w:rsidR="00000000" w:rsidRPr="00000000" w:rsidDel="00000000">
              <w:rPr>
                <w:rtl w:val="0"/>
              </w:rPr>
              <w:t xml:space="preserve"> un nacionālais līdzfinansējums, ko nodrošina no valsts budžeta līdzekļiem –  5 470 588 </w:t>
            </w:r>
            <w:r w:rsidR="00000000" w:rsidRPr="00000000" w:rsidDel="00000000">
              <w:rPr>
                <w:i w:val="1"/>
                <w:rtl w:val="0"/>
              </w:rPr>
              <w:t xml:space="preserve">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9.punktā norādīto valsts budžeta finansējumu palielinot to par 1 </w:t>
            </w:r>
            <w:r w:rsidR="00000000" w:rsidRPr="00000000" w:rsidDel="00000000">
              <w:rPr>
                <w:i w:val="1"/>
                <w:rtl w:val="0"/>
              </w:rPr>
              <w:t xml:space="preserve">euro</w:t>
            </w:r>
            <w:r w:rsidR="00000000" w:rsidRPr="00000000" w:rsidDel="00000000">
              <w:rPr>
                <w:rtl w:val="0"/>
              </w:rPr>
              <w:t xml:space="preserve"> (5 470 589 </w:t>
            </w:r>
            <w:r w:rsidR="00000000" w:rsidRPr="00000000" w:rsidDel="00000000">
              <w:rPr>
                <w:i w:val="1"/>
                <w:rtl w:val="0"/>
              </w:rPr>
              <w:t xml:space="preserve">euro</w:t>
            </w:r>
            <w:r w:rsidR="00000000" w:rsidRPr="00000000" w:rsidDel="00000000">
              <w:rPr>
                <w:rtl w:val="0"/>
              </w:rPr>
              <w:t xml:space="preserve">) un attiecīgi precizējot kopējo finansējumu (36 470 589 </w:t>
            </w:r>
            <w:r w:rsidR="00000000" w:rsidRPr="00000000" w:rsidDel="00000000">
              <w:rPr>
                <w:i w:val="1"/>
                <w:rtl w:val="0"/>
              </w:rPr>
              <w:t xml:space="preserve">euro</w:t>
            </w:r>
            <w:r w:rsidR="00000000" w:rsidRPr="00000000" w:rsidDel="00000000">
              <w:rPr>
                <w:rtl w:val="0"/>
              </w:rPr>
              <w:t xml:space="preserve">), ņemot vērā, ka pie esošā nacionālā līdzfinansējuma Eiropas Reģionālās attīstības fonda līdzfinansējuma apjoms ir lielāks kā 85% (85,0000005483871%). Lūdzam nodrošināt minētos precizējumus, ņemot vērā, ka Eiropas Komisijas Eiropas Savienības fondu pārvaldības informācijas sistēma (SFC2021) pārbauda līdzfinansējuma likmi 13 zīmes aiz komata.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Pukse (FM) (Irma Bondare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Prasības projekta iesniedzējam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sniegto informāciju par projekta iesniedzēja veicamajām darbībām, lai piemērotu horizontālo principu "Klimatdrošināšana", lūdzam papildināt noteikumu projekta II. sadaļu "Prasības projekta iesniedzējam" ar punktu, kas nosaka pienākumu finansējuma saņēmējam uzkrāt un uzskaitīt neieciešamos datus par minētā horizontāla principa piemērošanu īstenojot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Pukse (FM) (Irma Bondare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pasākuma ietvaros ir atbalstāmas šādas darbības, kas sekmē šo noteikumu 5. punktā minēto uzraudzības rādītāju sasniegšanu: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14. punkta ievaddaļu, norādot korektu atsauci uz atbilstošo noteikumu projekta punktu (t.i. 6.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pārskatīt visu noteikumu projektu un precizēt, kur attiecināms, atsauces uz noteikumu projekta punktiem, norādot korektu numerāciju.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pasākuma ietvaros ir atbalstāmas šādas darbības, kas sekmē šo noteikumu </w:t>
            </w:r>
            <w:r w:rsidR="00000000" w:rsidRPr="00000000" w:rsidDel="00000000">
              <w:rPr>
                <w:u w:val="single"/>
                <w:rtl w:val="0"/>
              </w:rPr>
              <w:t xml:space="preserve">6. punktā</w:t>
            </w:r>
            <w:r w:rsidR="00000000" w:rsidRPr="00000000" w:rsidDel="00000000">
              <w:rPr>
                <w:rtl w:val="0"/>
              </w:rPr>
              <w:t xml:space="preserve"> minēto uzraudzības rādītāju sasniegšanu: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ar projekta iesniegumu un īstenošanu saistītās pamatojošās dokumentācijas sagatavošanas izmaksas, kas nav radušās uz darba līguma pamata, kopā nepārsniedzot 10 procentus no projekta kopējām attiecināmajām izmaksām, tai skaitā: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neradītu lieku administratīvo slogu, vērtējot finansējuma ierobežojuma ievērošanu, kā arī neapgrūtinātu finansējuma saņēmēju, meklējot risinājumus situācijās, ja iepirkumu rezultātā faktiski piedāvātās darbu izmaksas pārsniedz ierobežojumus, lūdzam izvērtēt, vai procentuālais ierobežojums (10%) ir samērīgs un vai tas noteikumu projektā ir objektīvi nepieciešams (t.i., vai nav svītrojams)!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Atbildīgās iestādes vērtējumā visas 16.1.apakšpunktā norādītās izmaksu pozīcijas ir akceptējamas, tad ierobežojumu pārsniegumu gadījumā finansējums jāsedz ar ārpus projekta izmaksām, kas ne vienmēr ir pieejamas, tādejādi radot risku projekta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Dainis Polis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16.1.3. ieguldījumu ekonomiskā pamatojuma (tai skaitā investīciju uzturēšanai un ilgtspējai nepieciešamā finansējuma un darbību kopuma izvērtējuma) sagatavošanas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kādas izmaksas ietver 16.1.3. apakšpunktā minētās ieguldījumu ekonomiskā pamatojuma (tai skaitā investīciju uzturēšanai un ilgtspējai nepieciešamā finansējuma un darbību kopuma izvērtējuma) sagatavošanas izmaksas. Ņemot vērā, ka šobrīd anotācijā ir norādīts, ka izmaksu un ieguvumu analīzes veikšana pasākuma ietvaros nav attiecināma.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Šakena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 neparedzētie izdevumi, kas nepārsniedz piecus procentus no projekta kopējām attiecināmajām izmaksām un kuru izlietošanu finansējuma saņēmējs saskaņo ar sadarbības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Komentārs attiecināms gan uz 16.6, gan 16.7.apakšpunktu: lai neradītu lieku administratīvo slogu gan finansējuma saņēmējam, gan sadarbības iestādei, aicinām neparedzēt, ka neparedzēto izdevumu vai finanšu rezerves izmaksu izmantošana finansējuma saņēmējam jāsaskaņo ar sadarbības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Atbildīgā iestāde ar noteikumu projektu atbalsta šādu izmaksu paredzēšanu projektā, tad objektīvas nepieciešamības gadījumā (piemēram, iepirkums par lielāku summu, nekā sākotnēji plānots) finansējuma saņēmējs šajās pozīcijās paredzēto finansējumu var izmantot esošo darbību īstenošanai un par to informēt sadarbības iestādi, iesniedzot maksājuma pieprasījumu un informējot par radušos situāciju (grozījumi projekta budzētā šādās situācijas var tikt veikti kopā ar kārtējiem grozījumiem).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Dainis Polis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16.7. rezerves izmaksas, nepārsniedzot 10 procentus no attiecināmo būvniecības izmaksu kopsummas, ja projektā paredzētas būvniecības darbības un attiecināmajās izmaksās nav iekļauti šo noteikumu 16.6. apakšpunktā minētie neparedzētie izdevumi. Rezerves izmaksu izlietošanu finansējuma saņēmējs saskaņo ar sadarbības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kādēļ ir nepieciešamas gan noteikumu projekta 16.6.apakšpunktā nepieciešamo neparedzamo izdevumu noteikšana 5% apmērā, gan 16.7.apakšpunktā noteiktās rezerves izmaksas 10% apmērā. Lūdzam izvērtēt iespēju piemērot tikai vienu no šīm izmaksu pozīcijām.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Pukse (FM) (Irma Bondare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 pievienotās vērtības nodokļa maksājumi, kas tiešā veidā saistīti ar projektu,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64. panta 1. punkta "c" apakšpunktā ietvertajiem nosacījumiem, ja vien tie nav atgūstami saskaņā ar valsts normatīvajiem aktiem pievienotās vērtības nodokļa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Regulas (ES) 2021/1060 [1] 64. panta 1. punkta "c" apakšpunkta "i" punktam darbībām (projektiem), kuru kopējās izmaksas ir mazākas nekā 5 000 000 euro (ieskaitot pievienotās vērtības nodokli (turpmāk - PVN)), PVN izmaksas ir attiecināmas.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13. punktā minēto, ka projekta iesniedzējs var iesniegt vienu vai vairākus projekta iesniegumus, lūdzam izvērtēt, vai varētu tikt īstenoti arī tādi projekti, kuru kopējās izmaksas ir mazākas nekā 5 000 000 euro (ieskaitot PVN). Gadījumā, ja varētu tikt īstenoti gan tādi projekti, kuru kopējās izmaksas ir vismaz 5 000 000 euro (ieskaitot PVN), gan tādi projekti, kuru kopējās izmaksas ir mazākas nekā 5 000 000 euro (ieskaitot PVN), aicinām izteikt noteikumu projekta 16.8. apakšpunktu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 Eiropas Parlamenta un Padomes 2021. gada 24. jūnija  Regula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 pievienotās vērtības nodokļa maksājumi, kas tiešā veidā saistīti ar projektu,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64. panta 1. punkta "c" apakšpunktā ietvertajiem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16.8.1. projektiem, kuru kopējās izmaksas ir mazākas nekā 5 000 000 </w:t>
            </w:r>
            <w:r w:rsidR="00000000" w:rsidRPr="00000000" w:rsidDel="00000000">
              <w:rPr>
                <w:i w:val="1"/>
                <w:rtl w:val="0"/>
              </w:rPr>
              <w:t xml:space="preserve">euro</w:t>
            </w:r>
            <w:r w:rsidR="00000000" w:rsidRPr="00000000" w:rsidDel="00000000">
              <w:rPr>
                <w:rtl w:val="0"/>
              </w:rPr>
              <w:t xml:space="preserve"> (ieskaitot pievienotās vērtības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16.8.2. projektiem, kuru kopējās izmaksas ir vismaz 5 000 000 </w:t>
            </w:r>
            <w:r w:rsidR="00000000" w:rsidRPr="00000000" w:rsidDel="00000000">
              <w:rPr>
                <w:i w:val="1"/>
                <w:rtl w:val="0"/>
              </w:rPr>
              <w:t xml:space="preserve">euro</w:t>
            </w:r>
            <w:r w:rsidR="00000000" w:rsidRPr="00000000" w:rsidDel="00000000">
              <w:rPr>
                <w:rtl w:val="0"/>
              </w:rPr>
              <w:t xml:space="preserve"> (ieskaitot pievienotās vērtības nodokli) gadījumos, kad tie nav atgūstami saskaņā ar normatīvajiem aktiem pievienotās vērtības nodokļa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Izmaksas, kas saskaņā ar šiem noteikumiem nav iekļaujamas kā attiecināmās izmaksas, ir finansējamas ārpus projekta.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noteikumu projekta 17. punktu, norādot avotu, no kura finansējamas izmaksas ārpus projekta, kas saskaņā ar šo noteikumu projektu nav iekļaujamas kā attiecināmās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Šo noteikumu 16. punktā minētās projekta netiešās attiecināmās izmaksas ir finansējuma saņēmēja projekta vadības personāla administratīvās izmaksas, kuras plāno kā vienu izmaksu pozīciju, piemērojot netiešo izmaksu vienoto likmi 15 procentu apmērā no šo noteikumu 16.9. apakšpunktā minētajām personāla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18.punktā dzēst atsauci uz 16. punktu, jo 16. punkts nosaka projekta tiešās attiecināmās izmaksas, nevis netiešās attiecināmās izmaksas. Aicinām sākt noteikumu projekta 18.punktā redakciju ar vārdiem "Netiešās attiecināmās'', izsakot 18.punktu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Netiešās attiecināmās izmaksas ir finansējuma saņēmēja projekta vadības personāla administratīvās izmaksas, kuras plāno kā vienu izmaksu pozīciju, piemērojot netiešo izmaksu vienoto likmi 15 procentu apmērā no šo noteikumu 16.9. apakšpunktā minētajām personāla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Projekta īstenošanas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ieguldījumus infrastruktūrā, lūdzam papildināt noteikumu projektu ar nosacījumu par finansējuma saņēmēja tiesībām uz konkrēto objektu vai īpašumu, kurā plānots veikt ieguldījumus (īpašumā, ilgtermiņa nomā vai nodibinātas apbūves tiesības, bezatlīdzības lietošanā, valdījumā, turējumā u.c.). Vēršam uzmanību, ka finansējuma saņēmēja tiesībām uz konkrēto objektu vai īpašumu jābūt nostiprinātām Valsts vienotā datorizētā zemesgrāmatā (ja minētajam nosacījumam saskaņā ar nacionālo regulējumu ir izņēmums, tas attiecīgi aprakstāms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Sadarbības iestāde, ja tai ir pieejami valsts budžeta līdzekļi, izvērtējot plānotā avansa apmēru un tā pamatojumu un pamatojoties uz finansējuma saņēmēja rakstisku avansa pieprasījumu, var piešķirt finansējuma saņēmējam avansu pēc civiltiesiskā līguma noslēgšanas. Finansējuma saņēmējs avansa pieprasījumu sagatavo un sadarbības iestāde apstiprina, ņemot vērā nosacījumu, ka plānotā avansa apmērs atbilst spējai to izlietot sešu mēnešu laikā no tā izmaksas dienas. Finansējuma saņēmējam avansu var piešķirt līdz 50 procentiem no projektam piešķirtā ERAF finansējuma, ievērojot, ka avansu var izmaksāt vairākos maksājumos un avansa un starpposma maksājumu kopsumma nepārsniedz 90 procentus no projektam piešķirtā ERAF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noteikumu Nr. 205 [1] 10. punkts paredz, ka </w:t>
            </w:r>
            <w:r w:rsidR="00000000" w:rsidRPr="00000000" w:rsidDel="00000000">
              <w:rPr>
                <w:i w:val="1"/>
                <w:rtl w:val="0"/>
              </w:rPr>
              <w:t xml:space="preserve">sadarbības iestāde, veicot avansa maksājumus, ievēro nosacījumu, ka </w:t>
            </w:r>
            <w:r w:rsidR="00000000" w:rsidRPr="00000000" w:rsidDel="00000000">
              <w:rPr>
                <w:i w:val="1"/>
                <w:u w:val="single"/>
                <w:rtl w:val="0"/>
              </w:rPr>
              <w:t xml:space="preserve">maksimālais avansa apjoms nevar pārsniegt 30 %</w:t>
            </w:r>
            <w:r w:rsidR="00000000" w:rsidRPr="00000000" w:rsidDel="00000000">
              <w:rPr>
                <w:i w:val="1"/>
                <w:rtl w:val="0"/>
              </w:rPr>
              <w:t xml:space="preserve"> no projektam piešķirtā Eiropas Savienības fonda finansējuma un, ja tas ir paredzēts projektā, valsts budžeta līdzfinansējuma kopsummas, ja vien normatīvajā aktā par specifiskā atbalsta mērķa īstenošanu nav paredzēts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skaidrot anotācijā, kādēļ projekta īstenošanai nepieciešams lielāks avansa apmērs par noteikumos Nr. 205 noteikto, proti, 50 %.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Līdztekus, lai nodrošinātu drošas finanšu vadības principa ievērošanu, lūdzam paredzēt, ka nākamo avansa maksājumu var saņemt tikai pēc tam, kad iepriekšējais ir izmantots pilnā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izvērtēt nepieciešamību papildināt noteikumu projekta 21. punktu aiz vārdiem "no projektam piešķirtā ERAF finansējuma" ar vārdiem "un valsts budžeta līdzfinansējuma kopsummas", ņemot vērā noteikumu Nr. 205 10. un 16. punktā minēto kontekstā ar noteikumu projekta 9. punktā noteikto, ka ir plānots valsts budžeta līdzfinansējums.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regulējuma viennozīmīgas interpretācijas nolūkos aicinām papildināt noteikumu projekta 21. punktu aiz vārdiem "civiltiesiskā līguma" ar vārdiem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 Ministru kabineta 2023.gada 25.aprīļa noteikumi Nr. 205 “Valsts budžeta līdzekļu plānošanas kārtība Eiropas Savienības fondu projektu īstenošanai un maksājumu veikšanai 2021.–2027. gada plānošanas periodā”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Sadarbības iestāde, ja tai ir pieejami valsts budžeta līdzekļi, izvērtējot plānotā avansa apmēru un tā pamatojumu un pamatojoties uz finansējuma saņēmēja rakstisku avansa pieprasījumu, var piešķirt finansējuma saņēmējam avansu pēc civiltiesiskā līguma </w:t>
            </w:r>
            <w:r w:rsidR="00000000" w:rsidRPr="00000000" w:rsidDel="00000000">
              <w:rPr>
                <w:u w:val="single"/>
                <w:rtl w:val="0"/>
              </w:rPr>
              <w:t xml:space="preserve">par projekta īstenošanu</w:t>
            </w:r>
            <w:r w:rsidR="00000000" w:rsidRPr="00000000" w:rsidDel="00000000">
              <w:rPr>
                <w:rtl w:val="0"/>
              </w:rPr>
              <w:t xml:space="preserve"> noslēgšanas. Finansējuma saņēmējs avansa pieprasījumu sagatavo un sadarbības iestāde apstiprina, ņemot vērā nosacījumu, ka plānotā avansa apmērs atbilst spējai to izlietot sešu mēnešu laikā no tā izmaksas dienas. Finansējuma saņēmējam avansu var piešķirt līdz 50 procentiem no projektam piešķirtā ERAF finansējuma </w:t>
            </w:r>
            <w:r w:rsidR="00000000" w:rsidRPr="00000000" w:rsidDel="00000000">
              <w:rPr>
                <w:u w:val="single"/>
                <w:rtl w:val="0"/>
              </w:rPr>
              <w:t xml:space="preserve">un valsts budžeta līdzfinansējuma kopsummas</w:t>
            </w:r>
            <w:r w:rsidR="00000000" w:rsidRPr="00000000" w:rsidDel="00000000">
              <w:rPr>
                <w:rtl w:val="0"/>
              </w:rPr>
              <w:t xml:space="preserve">, ievērojot, ka avansu var izmaksāt vairākos maksājumos, </w:t>
            </w:r>
            <w:r w:rsidR="00000000" w:rsidRPr="00000000" w:rsidDel="00000000">
              <w:rPr>
                <w:u w:val="single"/>
                <w:rtl w:val="0"/>
              </w:rPr>
              <w:t xml:space="preserve">bet nākamo avansa maksājumu var saņemt pēc tam, kad iepriekšējais ieguldīts pilnā apmērā</w:t>
            </w:r>
            <w:r w:rsidR="00000000" w:rsidRPr="00000000" w:rsidDel="00000000">
              <w:rPr>
                <w:rtl w:val="0"/>
              </w:rPr>
              <w:t xml:space="preserve">, un avansa un starpposma maksājumu kopsumma nepārsniedz 90 procentus no projektam piešķirtā ERAF finansējuma </w:t>
            </w:r>
            <w:r w:rsidR="00000000" w:rsidRPr="00000000" w:rsidDel="00000000">
              <w:rPr>
                <w:u w:val="single"/>
                <w:rtl w:val="0"/>
              </w:rPr>
              <w:t xml:space="preserve">un valsts budžeta līdzfinansējuma kopsummas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uzkrāj datus un sniedz informāciju sadarbības iestādei par projektā sasniegto šo noteikumu 4. punktā minētajiem uzraudzības rādītājiem;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1)Lūdzam papildināt, ka informācija tiek sniegta Kohēzijas politikas fondu vadības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2)Neprecīzi norādīts punkts, uz kuru ir atsauce, jābūt atsaucei uz 6.punktu. Lūdzu precizēt!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uzkrāj datus un sniedz informāciju sadarbības iestādei Kohēzijas politikas fondu vadības informācijas sistēmā par projektā sasniegto šo noteikumu 6. punktā minētajiem uzraudzības rādītājiem;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Dainis Polis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 nodrošina, lai pasākuma ietvaros attiecināmās izmaksas nepārklātos ar citiem valsts un ārvalstu finanšu atbalsta instrumentiem un novērš dubultā finansējuma risku;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finansējuma saņēmējs ir privāto tiesību juridiskā persona, lūdzam papildināt noteikumu projektu ar regulējumu, ka finansējuma saņēmējs uzņemas segt sadārdzinājumu, piemēram, izsakot noteikumu projekta 23.3. apakšpunktu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 </w:t>
            </w:r>
            <w:r w:rsidR="00000000" w:rsidRPr="00000000" w:rsidDel="00000000">
              <w:rPr>
                <w:u w:val="single"/>
                <w:rtl w:val="0"/>
              </w:rPr>
              <w:t xml:space="preserve">uzņemas segt sadārdzinājumu</w:t>
            </w:r>
            <w:r w:rsidR="00000000" w:rsidRPr="00000000" w:rsidDel="00000000">
              <w:rPr>
                <w:rtl w:val="0"/>
              </w:rPr>
              <w:t xml:space="preserve">, nodrošina, lai pasākuma ietvaros attiecināmās izmaksas nepārklātos ar citiem valsts un ārvalstu finanšu atbalsta instrumentiem un novērš dubultā finansējuma risku;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23.4. nodrošina komunikācijas un vizuālās identitātes prasību pasākumus saskaņā ar regulas Nr.2021/1060 47. un 50. pantu un normatīvajiem aktiem, kas nosaka kārtību, kādā Eiropas Savienības fondu vadībā iesaistītās institūcijas nodrošina šo fondu ieviešanu 2021.–2027.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vai anotāciju ar informāciju, no kādiem līdzekļiem, finansējuma avota tiks nodrošināta projektu ietvaros radīto vērtību ilgtspēja.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Pukse (FM) (Irma Bondare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23.4. nodrošina komunikācijas un vizuālās identitātes prasību pasākumus saskaņā ar regulas Nr.2021/1060 47. un 50. pantu un normatīvajiem aktiem, kas nosaka kārtību, kādā Eiropas Savienības fondu vadībā iesaistītās institūcijas nodrošina šo fondu ieviešanu 2021.–2027.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finansējuma saņēmējs komunikācijas un vizuālās identitātes prasības nodrošinās gan saskaņā ar noteikumu projekta 23.4. apakšpunktā minēto regulējumu, gan arī ievēros vadlīnijas "ES fondu 2021.–2027. gada plānošanas perioda un Atveseļošanas fonda komunikācijas un dizaina vadlīnijas".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23.7. nodrošina interešu konflikta neesamību saskaņā ar Eiropas Parlamenta un Padomes 2024. gada 23. septembra Regulas (ES, Euratom) 2024/2509 par finanšu noteikumiem, ko piemēro Savienības vispārējam budžetam (pārstrādāta redakcija), 61. pantu un normatīvajiem aktiem publisko iepirkumu jomā, kā arī paraksta interešu konflikta neesamības apliecinājumu;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noteikumu projekta 23.7. apakšpunkta nepieciešamību, ņemot vērā konkrētā specifiskā atbalsta mērķa projekta veidu un to, ka Regulas (ES, Euratom) 2024/2509 [1]  61. panta prasības ir tieši piemērojamas tādiem projektiem, kas saistīti ar Eiropas Savienības fondu atbalsta saņemšanu un vienlaikus kuros atbilstoši specifiskā atbalsta mērķim finansējuma saņēmējs atlases kārtībā Eiropas Savienības fondu projekta dalībniekiem vai gala saņēmējiem sniedz finansiālu atbalstu (t.s. daudzpakāpju projekti). Turklāt vēršam uzmanību, ka publiskos iepirkumus regulējošajos normatīvajos aktos ir regulēts, kuriem subjektiem ir pienākums nodrošināt interešu konflikta neesamību.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precizēt arī anotācijas 5. 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Līdztekus vēršam uzmanību, ka noteikumu projekta 23.6. apakšpunkts jau paredz finansējuma saņēmēja pienākumu izstrādāt iekšējās kontroles sistēmu, ietverot tajā informāciju par interešu konflikta, krāpšanas, korupcijas risku un dubultā finansējuma novēršanas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 Eiropas Parlamenta un Padomes 2024.gada 23.septembra Regula (ES, Euratom) 2024/2509 par finanšu noteikumiem, ko piemēro Savienības vispārējam budžetam (pārstrādātā redakcija)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23.8. glabā projekta dokumentāciju un nodrošina tās pieejamību visā projekta īstenošanas laikā un uzraudzības periodā, kas nepārsniedz piecus gadus pēc pēdējā noslēguma maksājuma veikšanas finansējuma saņēmējam.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ka dokumentācijas glabāšana jānodrošina projekta īstenošanas laikā un </w:t>
            </w:r>
            <w:r w:rsidR="00000000" w:rsidRPr="00000000" w:rsidDel="00000000">
              <w:rPr>
                <w:b w:val="1"/>
                <w:rtl w:val="0"/>
              </w:rPr>
              <w:t xml:space="preserve">pēc</w:t>
            </w:r>
            <w:r w:rsidR="00000000" w:rsidRPr="00000000" w:rsidDel="00000000">
              <w:rPr>
                <w:rtl w:val="0"/>
              </w:rPr>
              <w:t xml:space="preserve">uzraudzības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23.8. glabā projekta dokumentāciju un nodrošina tās pieejamību visā projekta īstenošanas laikā un pēcuzraudzības periodā, kas nepārsniedz piecus gadus pēc pēdējā noslēguma maksājuma veikšanas finansējuma saņēmējam.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Dainis Polis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ietverto informāciju, nodrošinot, ka ir pamats finansējuma saņēmējiem piešķirt publiskos resursus. Proti, ja projekts būtu realizēts arī bez publiskā finansējuma, proti, “konkrētajā gadījumā projekta ietvaros plānotajām darbībām nepiemīt valsts atbalsta stimulējoša ietekme, jo attiecīgās aktivitātes AS "Sadales tīkls"  un AS "Augstspriegumu tīkls" tirgus apstākļos būtu īstenojis arī bez piešķirtā atbalsta”, tad nav skaidrs, kāpēc šāds pasākums vispār tiek virzīts finansēšanai no publiskajiem resursiem. Skaidrojam, ka, nodrošinot paskaidrojumu un argumentus anotācijā, ka finansējuma saņēmēju gadījumā atbalsts nekvalificējas kā komercdarbības atbalsts, jo konstatēti monopoli, un attiecīgi neizpildās komercdarbības atbalsta pazīme par ietekmi uz tirdzniecību un konkurenci Eiropas Savienības iekšējā tirgū, ir pietiekami un stimulējošās ietekmes analīze komercdarbības atbalsta kontroles kontekstā nav nepieciešama.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Nesaule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sadaļā "Horizontālie principi" skaidri noradīt, ka plānotajiem projektiem būs tieša vai netieša ietekme uz horizontālo principu "Nenodarīt būtisku kaitējumu".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Pukse (FM) (Irma Bondare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anotācijas sadaļu "Risinājuma apraksts" ar informāciju, ka ar minētā pasākuma īstenošanu tiks veiktas darbības par Eiropas Padomes 2025.gada rekomendācijas Nr.4 "..vairot enerģētisku drošību" ieviešanu.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Pukse (FM) (Irma Bondare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projektu iesniegumu vērtēšanas kritērijiem, t.i., vai tiks piemērots izņēmums (vēršam uzmanību, ka 2.6.1.2. pasākuma "Attīstīt viedas energosistēmas, tīklus un enerģijas akumulāciju ārpus Eiropas enerģētikas tīkla (TEN-E)" ar Eiropas Savienības fondu uzraudzības komitejas 2025.gada 9.jūnija lēmumu Nr.2025/5.2-6/16/41 ir iekļauts ierobežotu projektu iesniegumu atlašu sarakstā, kurām piemērojams izņēmums attiecībā uz vienoto kritēriju un vienoto izvēles kritēriju piemērošanu apstiprināšanu vai tiks virzīts jauns kritēriju komplekts apstiprināšanai Eiropas Savienības fondu 2021.-2027.gada Uzraudzības komitejā.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Pukse (FM) (Irma Bondare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"Atbalstāmās darbības un attiecināmās izmaksas" lūdzam precizēt atsauci uz 16.1.apakšpunktu, jābūt atsaucei uz 16.9. apakšpunktu, kurā minētas tiešās attiecināmās projekta vadības personāla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sloga mazināšanai projekta vadības personāla izmaksu nodrošināšanai tiek piemērota personāla izmaksu vienotā likme sešu procentu apmērā no noteikumu projekta 16. punktā minētajām pārējām tiešajām attiecināmajām izmaksām, kas nav noteikumu projekta 16.9. apakšpunktā minētās tiešās attiecināmās projekta vadības personāla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Šakena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sadalu 2.2. "Tiesiskā regulējuma ietekme uz tautsaimniecību" ar detalizētāku informāciju par pasākuma ietekmi uz tautsaimniecību norādot pēc iespējas izmērāmus faktus un sagaidāmos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Pukse (FM) (Irma Bondare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6.punktā "Detalizēts ieņēmumu un izdevumu aprēķins" norādīto informāciju par piemērojamo intervences laukuma kodu precizējot to uz Nr. 196 "Enerģijas starpsavienotāji un saistītā pārvades, sadales, uzkrāšanas un atbalsta infrastruktūra" atbilstoši Klimata un enerģētikas ministrijas 2025.gada 13.oktobrī sniegtajiem tehniskajiem precizējumiem Eiropas Savienības kohēzijas politikas programmas 2021.-2027.gadam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Pukse (FM) (Irma Bondare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3.sadaļā kā n gadu norādīt 2025.gadu, attiecīgi ietekmi uz budžetu atspoguļojot 5., 7. un 8.ailē. Vienlaikus anotācijas punktā "Cita informācija" lūdzam norādīt ministriju, kura pieprasīs finansējumu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6.sadaļu "Projekta izstrādē iesaistītās institūcijas un sabiedrības līdzdalības process" ar informāciju par noteikumu projekta izstrādē iesaistītajām biedrībām, nodibinājumiem un nevalstiskajām organizācijām atbilstoši Ministru Prezidenta 2021.gada 7.septembra rezolūcijai Nr. 2021-1.1.1./50-50 “Izstrādājot specifisko atbalsta mērķu un to pasākumu ieviešanas nosacījumus Eiropas Savienības fondu 2021.—2027.gada plānošanas perioda atbalsta saņemšanai institūcijas atbildībā esošajās jomās, lūdzu jēgpilni iesaistīt attiecīgajā jomā strādājošās biedrības un nodibinājumus. Pēc specifisko atbalsta mērķu un to pasākumu ieviešanas nosacījumu apstiprināšanas Ministru kabinetā, lūdzu sagatavot un sniegt informāciju par sabiedrības pārstāvju iesaisti normatīvā regulējuma izstrādē Nevalstisko organizāciju un Ministru kabineta sadarbības memoranda īstenošanas padomes sekretariātam (uz e-pastu: nvo@mk.gov.lv)".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Pukse (FM) (Irma Bondare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"Eiropas Savienības kohēzijas politikas programmas 2021.–2027. gadam 2.6.1. specifiskā atbalsta mērķa "Veicināt enerģijas starpsavienojumu un saistītās pārvades, sadales, uzglabāšanas un atbalsta infrastruktūras izbūvi, kā arī kritiskās enerģētikas infrastruktūras aizsardzību un uzlādes infrastruktūras izvēršanu" 2.6.1.2. pasākuma "Attīstīt viedas energosistēmas, tīklus un enerģijas akumulāciju ārpus Eiropas enerģētikas tīkla" (TEN-E)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sēdes protokollēmuma projektu ar punktu par Klimata un enerģētikas ministrijas plānoto rīcību gadījuma, ja Eiropas Komisija neatbalstīs 2.6.1.2.pasākuma "Enerģētiskās drošības infrastruktūras attīstība" īstenošanu atbilstoši Eiropas Savienības kohēzijas politikas programmas 2021.-2027.gadam grozījumos iekļautajam.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Pukse (FM) (Irma Bondare (FM)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25-TA-1669</w:t>
    </w:r>
    <w:r>
      <w:br/>
    </w:r>
    <w:r w:rsidR="00000000" w:rsidRPr="00000000" w:rsidDel="00000000">
      <w:rPr>
        <w:rtl w:val="0"/>
      </w:rPr>
      <w:t xml:space="preserve">Izdrukāts 27.10.2025. 16.18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25-TA-1669</w:t>
    </w:r>
    <w:r>
      <w:br/>
    </w:r>
    <w:r w:rsidR="00000000" w:rsidRPr="00000000" w:rsidDel="00000000">
      <w:rPr>
        <w:rtl w:val="0"/>
      </w:rPr>
      <w:t xml:space="preserve">Izdrukāts 27.10.2025. 16.18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Atzinumi_25-TA-1669.docx</dc:title>
</cp:coreProperties>
</file>

<file path=docProps/custom.xml><?xml version="1.0" encoding="utf-8"?>
<Properties xmlns="http://schemas.openxmlformats.org/officeDocument/2006/custom-properties" xmlns:vt="http://schemas.openxmlformats.org/officeDocument/2006/docPropsVTypes"/>
</file>