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24-TA-2051: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4.1.1. specifiskā atbalsta mērķa "Nodrošināt vienlīdzīgu piekļuvi veselības aprūpei un stiprināt veselības sistēmu, tostarp primārās veselības aprūpes noturību" 4.1.1.1. pasākuma "Ārstniecības iestāžu infrastruktūras attīstība" ceturtās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 – 2027. gadam 4.1.1. specifiskā atbalsta mērķa "Nodrošināt vienlīdzīgu piekļuvi veselības aprūpei un stiprināt veselības sistēmu, tostarp primārās veselības aprūpes noturību" 4.1.1.1. pasākuma "Ārstniecības iestāžu infrastruktūras attīstība" ceturtās kārtas projekta iesniedzēju individuālais finansējuma sadalījums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 11.punktam nacionālais finansējums, kas iekļauj valsts budžeta un privāto finansējumu, noteikts 721 932 euro apmērā, savukārt noteikumu projekta pielikumā sniegtajā finansējuma saņēmēju sadalījumā netiek norādīts valsts budžeta finansējuma apmērs un privātā finansējuma apmērs. Līdz ar to nepieciešams precizēt noteikumu projekta pielikumu, norādot valsts budžeta finansējuma apmēru un privātā finansējuma apmēru sadalījumā pa finansējuma saņēmējiem.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1.3.sadaļas punktā “Risinājuma apraksts” (9.lpp.) norādīts, ka infrastruktūras izmantošanas proporcijas aprēķina metodiku izstrādā atbildīgā iestāde, kas ir Veselības ministrija, savukārt, finansējuma saņēmējs infrastruktūras izmantošanas proporcijas aprēķinu iesniedz sadarbības iestādei, iesniedzot projekta iesniegumu. Lūdzam precizēt noteikumu projektu un/vai anotāciju, norādot atbildīgo iestādi, kas veiks finansējuma saņēmēja infrastruktūras izmantošanas proporcijas aprēķina pārbaudi pret Veselības ministrijas izstrādāto infrastruktūras izmantošanas proporcijas aprēķina metodiku.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Projekta iesniedzējs nevar pretendēt uz atbalsta saņemšanu, ja tas atbilst grūtībās nonākuša komersanta statusam saskaņā ar Komisijas 2014. gada 17. jūnija Regulas Nr. 651/2014, ar ko noteiktas atbalsta kategorijas atzīst par saderīgām ar iekšējo tirgu, piemērojot Līguma 107. un 108. pantu, 2. panta 18.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Komisijas Regulas Nr. 651/2014 2. panta 18. punkta nosacījumi ir jāvērtē/jāpiemēro uzņēmuma grupas līmenī (Komisijas Regulas Nr. 651/2014 angliskajā versijā nosacījumi, kas ir attiecināmi uz ‘undertaking’, ir jāpārbauda/jāpiemēro uzņēmuma grupas līmenī). Attiecīgi lūdzam papildināt noteikumu projekta 20. punktu ar nosacījumu, ka projekta iesniedzējs tiks vērtēts grupas līmenī, tādējādi nodrošinot, ka ar terminu "komersants" tiek saprasts, ka komersants tiek vērtēts grupas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Šo noteikumu </w:t>
            </w:r>
            <w:r w:rsidR="00000000" w:rsidRPr="00000000" w:rsidDel="00000000">
              <w:rPr>
                <w:rtl w:val="0"/>
              </w:rPr>
              <w:t xml:space="preserve">26.3.</w:t>
            </w:r>
            <w:r w:rsidR="00000000" w:rsidRPr="00000000" w:rsidDel="00000000">
              <w:rPr>
                <w:rtl w:val="0"/>
              </w:rPr>
              <w:t xml:space="preserve"> apakšpunktā minētā atbalstāmā darbība ietver komunikācijas un vizuālās identitātes prasību nodrošināšanas izmaksas atbilstoši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47. un 50. pantā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32. punktu, ņemot vērā, ka noteikumu projekta 41.1. apakšpunktā jau ir noteikts, ka finansējuma saņēmējs nodrošina noteikumu projekta 26.3. apakšpunktā minētos komunikācijas un vizuālās identitātes prasību nodrošināšanas pasākumus saskaņā arī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47. pantu un 50.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nodrošina šo noteikumu </w:t>
            </w:r>
            <w:r w:rsidR="00000000" w:rsidRPr="00000000" w:rsidDel="00000000">
              <w:rPr>
                <w:rtl w:val="0"/>
              </w:rPr>
              <w:t xml:space="preserve">26.3.</w:t>
            </w:r>
            <w:r w:rsidR="00000000" w:rsidRPr="00000000" w:rsidDel="00000000">
              <w:rPr>
                <w:rtl w:val="0"/>
              </w:rPr>
              <w:t xml:space="preserve"> apakšpunktā minētos komunikācijas un vizuālās identitātes prasību nodrošināšanas pasākumus saskaņā ar Regulas Nr. 2021/1060 47. pantu un 50. pantu un normatīvajiem aktiem par kārtību, kādā Eiropas Savienības struktūrfondu un Kohēzijas fonda ieviešanā 2021. – 2027. gada plānošanas periodā nodrošināma komunikācijas un vizuālās identitātes prasību ievērošana, kā arī ievēro Eiropas Savienības fondu 2021. – 2027. gada plānošanas perioda un Atveseļošanas fonda komunikācijas un dizaina vadlīnijas;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41.1. apakšpunktā minēto atsauci uz normatīvo aktu. Vēršam uzmanību, ka komunikācijas un vizuālās identitātes prasības ir noteiktas normatīvajā aktā par kārtību, kādā Eiropas Savienības fondu vadībā iesaistītās institūcijas nodrošina šo fondu ieviešanu 2021.-2027. gada plānošanas periodā. Vienlaikus lūdzam precizēt atsauci uz normatīvo aktu anotācijas 1.3.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41.2.2. veikto vides un informācijas piekļūstamības pašnovērtējumu skaits atbilstoši Labklājības ministrijas izstrādātajai metodikai. Finansējuma saņēmējam, iesniedzot noslēguma maksājuma pieprasījumu, ir pienākums sniegt minēto informāciju par visu projekta periodu.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salāgot noteikumu projektā paredzētos horizontālā principa “Vienlīdzība, iekļaušana, nediskriminācija un pamattiesību ievērošana” rādītājus ar 29.08.2024. apakškomitejas sēdē izskatīto projektu iesniegumu vērtēšanas kritēriju piemērošanas metodiku. Vienlaikus vēršam uzmanību, ka metodika paredz iespēju izvēlēties vienu no trīs dažādiem rādītājiem, t.i., finansējuma saņēmējam nav nepieciešams uzkrāt informāciju par visiem HP VINPI rādītājiem.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Pētersons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41.3. ja projekta izmaksas pieaug, projekta sadārdzinājumu sedz no saviem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41.3. apakšpunktu tā, lai uz projekta īstenošanas gaitā radušās sadārdzinājuma izmaksām, ko finansējuma saņēmējs sedz no saviem līdzekļiem, nodrošinātu piemērojamā komercdarbības atbalsta regulējuma normu ievērošanu. Skaidrojam, ka, ja atbalsts tiek piešķirts kā komercdarbības atbalsts, piemērojot EK lēmumu, tad gadījumā, ja sadārdzinājums tiek segts no līdzekļiem, kas ir publiskie līdzekļi, arī uz sadārdzinājumu jāattiecina piemērojamā komercdarbības atbalsta regulējuma nosacījumus. Savukārt, ja 'savi līdzekļi' ir ieņēmumi no saimnieciskās darbības vai citi privātie resursi, tad komercdarbības atbalsta regulējums jāpiemēro nebūtu. Lai nosegtu abus šos scenārijus, jo MK noteikumu projektā nav skaidrs, ko ietver jēdziens 'savi līdzekļi', aicinām papildināt punktu ar tekstu "nodrošinot piemērojamo komercdarbības atbalsta regulējuma normu ievērošanu".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41.7. nodrošina, ka projekta īstenošanas laikā nekustamie īpašumi, kuri nepieciešami projekta īstenošanai, ir finansējuma saņēmēja, valsts vai pašvaldības īpašumā, ilgtermiņa nomā (vismaz 10 gadi), patapinājumā vai valdījumā un tiesību prasība ir nostiprināta zemesgrāmatā. Ja investīcijas ir veiktas ēkās un būvēs, nepalielinot apbūves laukumu, īpašumtiesībām vai citām tiesībām attiecībā uz zemi nav jābūt nostiprinātām zemesgrāmatā;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ja noteikumu projekts ir attiecināms uz infrastruktūru, tad noteikumu projektā iekļauj nosacījumu par finansējuma saņēmēja tiesībām uz konkrēto objektu vai īpašumu, kurā plānots veikt ieguldījumus (īpašumā, ilgtermiņa nomā vai nodibinātas apbūves tiesības, bezatlīdzības lietošanā, valdījumā, turējumā u.c.). Finansējuma saņēmēja tiesībām uz konkrēto objektu vai īpašumu jābūt nostiprinātām zemesgrāmatā. Ja minētajam nosacījumam saskaņā ar nacionālo regulējumu ir izņēmums, tas attiecīgi aprakstāms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iespēju precizēt noteikumu projekta 41.7. apakšpunktu, paredzot, ka tieši finansējuma saņēmējam ir ilgtermiņa nomas, patapinājuma vai valdījuma tiesībām uz nekustamo īpašumu.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Sadarbības iestāde, ja tai ir pieejami valsts budžeta līdzekļi, pēc plānotā avansa apmēra un tā pamatojuma izvērtēšanas, pamatojoties uz finansējuma saņēmēja rakstisku avansa pieprasījumu, var piešķirt finansējuma saņēmējam avansu pēc tam, kad ir noslēgts līgums par projekta īstenošanu. Finansējuma saņēmējs avansa pieprasījumu sagatavo un sadarbības iestāde to apstiprina, ņemot vērā nosacījumu, ka plānotā avansa apmērs atbilst spējai to izlietot sešu mēnešu laikā saimnieciskā gada ietvaros. Finansējuma saņēmējam avansu var piešķirt līdz 30 procentiem no projektam piešķirtā Eiropas Reģionālās attīstības fonda finansējuma, ievērojot, ka avansu var izmaksāt vairākos maksājumos un avansa un starpposma maksājumu kopsumma nepārsniedz 90 procentus no projektam piešķirtā Eiropas Reģionālās attīstības fonda finansējuma apmēra.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2023. gada 25. aprīļa noteikumu Nr. 205 "Valsts budžeta līdzekļu plānošanas kārtība Eiropas Savienības fondu projektu īstenošanai un maksājumu veikšanai 2021.–2027. gada plānošanas periodā" 10. punkts paredz, ka avansa apmērs nepārsniedz 30 % no projektam piešķirtā Eiropas Savienības fonda finansējuma un, ja tas ir paredzēts projektā, </w:t>
            </w:r>
            <w:r w:rsidR="00000000" w:rsidRPr="00000000" w:rsidDel="00000000">
              <w:rPr>
                <w:u w:val="single"/>
                <w:rtl w:val="0"/>
              </w:rPr>
              <w:t xml:space="preserve">valsts budžeta līdzfinansējuma kopsummas,</w:t>
            </w:r>
            <w:r w:rsidR="00000000" w:rsidRPr="00000000" w:rsidDel="00000000">
              <w:rPr>
                <w:rtl w:val="0"/>
              </w:rPr>
              <w:t xml:space="preserve"> savukārt šo noteikumu 16.punkts paredz, ka sadarbības iestāde, veicot avansa un starpposma maksājumus, ievēro nosacījumu, ka to kopsumma nedrīkst pārsniegt 90 % no projektam piešķirtā Eiropas Savienības fonda finansējuma un, ja tas paredzēts projektā, </w:t>
            </w:r>
            <w:r w:rsidR="00000000" w:rsidRPr="00000000" w:rsidDel="00000000">
              <w:rPr>
                <w:u w:val="single"/>
                <w:rtl w:val="0"/>
              </w:rPr>
              <w:t xml:space="preserve">valsts budžeta līdzfinansējuma kopsummas. </w:t>
            </w:r>
            <w:r w:rsidR="00000000" w:rsidRPr="00000000" w:rsidDel="00000000">
              <w:rPr>
                <w:rtl w:val="0"/>
              </w:rPr>
              <w:t xml:space="preserve">Ņemot vērā, ka noteikumu projekts paredz arī valsts budžeta līdzfinansējumu, lūdzam atbilstoši papildināt noteikumu projekta 42. punktu. Lūdzam atbilstoši precizēt arī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Sadarbības iestāde, ja tai ir pieejami valsts budžeta līdzekļi, pēc plānotā avansa apmēra un tā pamatojuma izvērtēšanas, pamatojoties uz finansējuma saņēmēja rakstisku avansa pieprasījumu, var piešķirt finansējuma saņēmējam avansu pēc tam, kad ir noslēgts līgums par projekta īstenošanu. Finansējuma saņēmējs avansa pieprasījumu sagatavo un sadarbības iestāde to apstiprina, ņemot vērā nosacījumu, ka plānotā avansa apmērs atbilst spējai to izlietot sešu mēnešu laikā saimnieciskā gada ietvaros. Finansējuma saņēmējam avansu var piešķirt līdz 30 procentiem no projektam piešķirtā Eiropas Reģionālās attīstības fonda finansējuma un valsts budžeta līdzfinansējuma kopsummas, ievērojot, ka avansu var izmaksāt vairākos maksājumos un avansa un starpposma maksājumu kopsumma nepārsniedz 90 procentus no projektam piešķirtā Eiropas Reģionālās attīstības fonda finansējuma apmēra un valsts budžeta līdzfinansējuma kopsummas.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minēt kādu piemēru anotācijā, kurās citās publiskajās investīcijās projektu vadības un īstenošanas personāla izmaksas netika plānotas, un vai šajos projektos nebija radušās būtiskas problēmas ar projektu ieviešanas kapacitāti. Kā piemēru, iespējams, var minēt Eiropas Savienības Atveseļošanās un noturības mehānisma plāna 4.1.1.3.i. investīciju "Atbalsts sekundāro ambulatoro pakalpojumu sniedzēju veselības aprūpes infrastruktūras stiprināšanai, lai nodrošinātu visaptverošu ilgtspējīgu integrētu veselības pakalpojumu, mazinātu infekciju slimību izplatību, epidemioloģisko prasību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 finansējuma saņēmējam jānodrošina projektu rezultātu ilgtspēja un uzturēšana, kā tas noteikts noteikumu projekta "Eiropas Savienības kohēzijas politikas programmas 2021. – 2027. gadam 4.1.1. specifiskā atbalsta mērķa "Nodrošināt vienlīdzīgu piekļuvi veselības aprūpei un stiprināt veselības sistēmu, tostarp primārās veselības aprūpes noturību" 4.1.1.1. pasākuma "Ārstniecības iestāžu infrastruktūras attīstība" ceturtās kārtas īstenošanas noteikumi" 41.6.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 anotācijas budžeta sadaļas "Cita informācija" norādīt, no kura budžeta resora programmas plānots finansējums pasākumu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Blauberga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paredz datu uzkrāšanu par privātpersonām (noteikumu projekta 8.punkts un 41.5.apakšpunkts), lūdzam aizpildīt anotācijas 8.1.13. apakšsadaļu.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24-TA-2051</w:t>
    </w:r>
    <w:r>
      <w:br/>
    </w:r>
    <w:r w:rsidR="00000000" w:rsidRPr="00000000" w:rsidDel="00000000">
      <w:rPr>
        <w:rtl w:val="0"/>
      </w:rPr>
      <w:t xml:space="preserve">Izdrukāts 13.09.2024. 17.47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24-TA-2051</w:t>
    </w:r>
    <w:r>
      <w:br/>
    </w:r>
    <w:r w:rsidR="00000000" w:rsidRPr="00000000" w:rsidDel="00000000">
      <w:rPr>
        <w:rtl w:val="0"/>
      </w:rPr>
      <w:t xml:space="preserve">Izdrukāts 13.09.2024. 17.47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Atzinumi_24-TA-2051.docx</dc:title>
</cp:coreProperties>
</file>

<file path=docProps/custom.xml><?xml version="1.0" encoding="utf-8"?>
<Properties xmlns="http://schemas.openxmlformats.org/officeDocument/2006/custom-properties" xmlns:vt="http://schemas.openxmlformats.org/officeDocument/2006/docPropsVTypes"/>
</file>