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16., 18.,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w:t>
            </w:r>
            <w:r w:rsidR="00000000" w:rsidRPr="00000000" w:rsidDel="00000000">
              <w:rPr>
                <w:rtl w:val="0"/>
              </w:rPr>
              <w:t xml:space="preserve"> punktu, tiesību akta projektam ir jāvērtē ietekme uz administratīvo slogu un apstiprinoša rezultāta gadījumā jāveic administratīvo un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vai atbilstības izmaksām, ko nosaka spēkā esošais regulējums, tad ar aprēķinu palīdzību jānoskaidro administratīvo un atbilstības izmaksu izmaiņas – starpība starp esošā un plānotā regulējuma administratīvajām un atbilstības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likumam "Par ietekmes uz vidi novērtējumu" (turpmāk - likums) iepriekš administratīvās un atbilstības izmaksas nav vērtētas, ir nepieciešams izvērtēt vai ar likumprojektā veiktajām izmaiņām tiek ietekmēts administratīvais slogs, un, vai izmainās informācijas sniegšanas pienākuma un atbilstības prasību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un atbilstības prasību vērtējumu un atbilstoši vērtējumam veikt administratīvo un atbilstības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likumprojektā ir 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ar kuru likuma 14.1 pants tiek papildināts ar 1.</w:t>
            </w:r>
            <w:r w:rsidR="00000000" w:rsidRPr="00000000" w:rsidDel="00000000">
              <w:rPr>
                <w:vertAlign w:val="superscript"/>
                <w:rtl w:val="0"/>
              </w:rPr>
              <w:t xml:space="preserve">3</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ar kuru likuma 15. panta  pirmā daļa tiek izteikta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ar kuru likuma 17. panta  pirmā daļa tiek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16., 18.1 un 18.2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likumam "Par ietekmes uz vidi novērtējumu" (turpmāk - likums) iepriekš administratīvās izmaksas nav vērtētas, ir nepieciešams izvērtēt vai ar likumprojektā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likumprojektā ir 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ar kuru tiek veiktas izmaiņas likuma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ar kuru tiek veiktas izmaiņas likuma 14.</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ar kuru tiek veiktas izmaiņas likuma 21.</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ir mazināt administratīvo slogu, kā arī tā potenciālo ietekmi uz cilvēku veselību, drošību un labbūtību, rosinām apsvērt iespēju un nepieciešamību veikt likumprojekta ex-post ietekmes izvērtēšanu trīs gadu periodā pēc tā spēkā stāšanās. Vēršam uzmanību, ka šobrīd Valsts kanceleja izstrādā metodiku normatīvo aktu ex-post ietekmes izvērtēšanai, kur, cita starpā, kā būtiski kritēriji lēmuma pieņemšanai par normatīvā akta ex-post izvērtēšanu tiek izvirzīti ietekme uz administratīvā sloga mazināšanu, ietekme uz cilvēku veselību, drošību, labklājību. Iecerēts, ka 2025. gada 1.pusē darbs pie metodikas izstrādes tiks pabeigts, nodrošinot atbalstu normatīvo aktu izstrādātājiem un īstenotājiem.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likumprojekta anotācijā ir norādītas visas izpildē iesaistītās institūcijas, ņemot vērā, ka likumprojekts nosaka pienākumus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