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748 "Eiropas Savienības kohēzijas politikas programmas 2021.–2027. gadam 1.2.2. specifiskā atbalsta mērķa "Izmantot digitalizācijas priekšrocības uzņēmējdarbības attīstībai" 1.2.2.1. pasākuma "Atbalsts procesu digitalizācijai komercdarbībā"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piekto sadaļu "Vienkāršoto izmaksu metodikas izstrādes svītrošana", ka tiek svītrots MK noteikumu Nr.748 1.7. apakšpunkts, jo noteikumu punkts tiek atstāts iepriekšējā redakcijā un noteikumi paredz vienoto likmi projekta vadības un īstenošanas personāla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Krilova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gala labuma guvējs – sīkais (mikro), mazais un vidējais komersants (tai skaitā juridiskas personas ārvalstu filiāle, zemnieku saimniecība, kooperatīvā sabiedrība), kas atbilst sīkā (mikro), mazā vai vidējā saimnieciskās darbības subjekta statusam saskaņā ar Eiropas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Regula Nr. 651/2014), 2. panta 2. punktu, mazas vidējas kapitalizācijas sabiedrības saskaņā ar Eiropas Parlamenta un Padomes 2015. gada 25. jūnija Regulas (ES) Nr. </w:t>
            </w:r>
            <w:r w:rsidR="00000000" w:rsidRPr="00000000" w:rsidDel="00000000">
              <w:rPr>
                <w:rtl w:val="0"/>
              </w:rPr>
              <w:t xml:space="preserve">2015/1017</w:t>
            </w:r>
            <w:r w:rsidR="00000000" w:rsidRPr="00000000" w:rsidDel="00000000">
              <w:rPr>
                <w:rtl w:val="0"/>
              </w:rPr>
              <w:t xml:space="preserve"> par Eiropas Stratēģisko investīciju fondu, Eiropas Investīciju konsultāciju centru un Eiropas Investīciju projektu portālu, ar ko groza Regulas (ES) Nr. 1291/2013 un (ES) Nr. 1316/2013 – Eiropas Stratēģisko investīciju fonds (turpmāk – Regula Nr. </w:t>
            </w:r>
            <w:r w:rsidR="00000000" w:rsidRPr="00000000" w:rsidDel="00000000">
              <w:rPr>
                <w:rtl w:val="0"/>
              </w:rPr>
              <w:t xml:space="preserve">2015/1017</w:t>
            </w:r>
            <w:r w:rsidR="00000000" w:rsidRPr="00000000" w:rsidDel="00000000">
              <w:rPr>
                <w:rtl w:val="0"/>
              </w:rPr>
              <w:t xml:space="preserve">), 2. panta 6. punktu, kā arī vidējas kapitalizācijas sabiedrības saskaņā ar Regulas Nr. </w:t>
            </w:r>
            <w:r w:rsidR="00000000" w:rsidRPr="00000000" w:rsidDel="00000000">
              <w:rPr>
                <w:rtl w:val="0"/>
              </w:rPr>
              <w:t xml:space="preserve">2015/1017</w:t>
            </w:r>
            <w:r w:rsidR="00000000" w:rsidRPr="00000000" w:rsidDel="00000000">
              <w:rPr>
                <w:rtl w:val="0"/>
              </w:rPr>
              <w:t xml:space="preserve"> 2. panta 7. punktu un Biedrību un nodibinājumu reģistrā reģistrētas biedrības un nodibinājumi, kas veic saimniecisko darbību un kas atbilst sīkā (mikro), mazā vai vidējā saimnieciskās darbības subjekta statusam saskaņā ar Regulas Nr. 651/2014 2.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EM uzmanību uz MK noteikumu  2.1.apakšpunkta neatbilstību EM  pieteiktajiem grozījumiem Kohēzijas politikas programmā (2021-2027), kuras 91.paragrāfs paredz, ka  biedrības un nodibinājumi atbalstu komercializācijai var saņemt izpildot nosacījumu par to, ka tie veic saimniecisko darbību </w:t>
            </w:r>
            <w:r w:rsidR="00000000" w:rsidRPr="00000000" w:rsidDel="00000000">
              <w:rPr>
                <w:u w:val="single"/>
                <w:rtl w:val="0"/>
              </w:rPr>
              <w:t xml:space="preserve">un apvieno vismaz 3 komersantus, tai skaitā, sociālos uzņēmumus, kas īsteno sabiedrībai nozīmīgus un sociālās nevienlīdzības mazināšanas pakalpojumus. </w:t>
            </w:r>
            <w:r w:rsidR="00000000" w:rsidRPr="00000000" w:rsidDel="00000000">
              <w:rPr>
                <w:rtl w:val="0"/>
              </w:rPr>
              <w:t xml:space="preserve">Lūdzam veikt precizējumu šajā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attiecināmais finansējums ir 23 257 923 euro, tai skaitā Eiropas Reģionālās attīstības fonda finansējums 19 769 234 euro un valsts budžeta līdzfinansējums 3 488 689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6.punktā precizēt pasākuma ietvaros plānotā finansējuma sadalījumu pa avotiem, ievērojot, ka valsts budžeta daļa bez elastības finansējuma ir 3 488 690 euro nevis 3 488 689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w:t>
    </w:r>
    <w:r>
      <w:br/>
    </w:r>
    <w:r w:rsidR="00000000" w:rsidRPr="00000000" w:rsidDel="00000000">
      <w:rPr>
        <w:rtl w:val="0"/>
      </w:rPr>
      <w:t xml:space="preserve">Izdrukāts 04.03.2025. 20.37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w:t>
    </w:r>
    <w:r>
      <w:br/>
    </w:r>
    <w:r w:rsidR="00000000" w:rsidRPr="00000000" w:rsidDel="00000000">
      <w:rPr>
        <w:rtl w:val="0"/>
      </w:rPr>
      <w:t xml:space="preserve">Izdrukāts 04.03.2025. 20.37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Atzinumi_25-TA-184.docx</dc:title>
</cp:coreProperties>
</file>

<file path=docProps/custom.xml><?xml version="1.0" encoding="utf-8"?>
<Properties xmlns="http://schemas.openxmlformats.org/officeDocument/2006/custom-properties" xmlns:vt="http://schemas.openxmlformats.org/officeDocument/2006/docPropsVTypes"/>
</file>