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normatīvā akta projekts paredz jaunus mežsaimnieciskās darbības ierobežojumus un zonējuma izmaiņas, iebilstam normatīvā akta tālākai virzībai līdz nav ieviesta taisnīga kompensāciju sistēma par saimnieciskās darbības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paplašināts saimnieciskās darbības ierobežojums nosakot to visai teritorijai. Mainīgajos meteroloģiskajos apstākļos tieši vasaras periods var būt vienīgais, kad pēc iespējas mazāk tiek traumēta augsnes virskārta un paliekošo koku sakņu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Sezonālo ierobežojumu attiecināt tikai uz dabas liegumu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 ka aprobežojums tiek attiecināts uz visu GNP teritoriju. Galvenās cirtes caurmēra kritēriju var izmantot arī izlases cirtes veikšanai un dažādvecuma meža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Neattiecināt uz ainavu aizsardzības un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saglabājamie lielāku dimensiju ekoloģiskie koki ir liels koksnes apjoms kā vērtība meža īpašniekam netiek kompensēta. Papildus ekoloģiskajiem ir jāatstāj arī sausie koki un kritalas. Kā kompromisa variants kompensāciju neesamības gadījumā varētu tikt noteikti 10 atstājamie ekoloģiskie koki.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augtspējīgus ekoloģiskos kokus ar lielāko diametru, vispirms izvēloties šo noteikumu ​15.5.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Neatļaujot atjaunot mežaudzes stādot priedi, nākotnē var tikt zaudētas ainaviski vērtīgās priežu audzes. Neredzam iemeslus, kā stādītas priežu audzes varētu slikti ietekmēt dabas lieguma zonas funkciju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30.17.  atjaunot mežu stādot vai sējot (izņemot meža atjaunošanu ar priedi)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Nesamērīgs ierobežojums aizliedzot atjaunot savu mežu sējot vai stādot.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augstpējīgos.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saglabā visus citu sugu augtspējīgos kokus ar nākotnes potenciālu.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