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Otrajā kārtā projekta iesniedzējs ir biedrība "Augstākās izglītības un zinātnes informācijas tehnoloģijas koplietošanas pakalpojumu centrs", kas sagatavo projekta iesniegumu un projektu iesniegumu atlases nolikumā noteiktajā kārtībā iesniedz to sadarbības iestādē, izmantojot Kohēzijas politikas fondu vadības informācijas sistēmas elektronisko vidi. Ja sadarbības iestāde apstiprina projekta iesniegumu, projekta iesniedzējs ir finansējuma saņēmējs.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plānoto ieviešanas sistēmu, ņemot vērā gan nepieciešamību nodrošināt centralizētu datu uzkrāšanu, gan faktiskās augstskolu investīcijas to IT sistēmu izstrādē un stratēģiskās attīstības koncepcijās, īpaši ņemot vērā augstskolu specifiku un individuālās vajadzības. Aicinām noteikt, ka finansējuma saņēmējs otrajā kārtā ir piecas augstskolas (RTU, LU, LBTU, RSU ), vienlaikus precizējot un nosakot to darbību apjomu, kas saistīts ar 44.punktā iekļautajām darbībām un rīcību attiecībā uz centralizēti īstenojamām darbībām un tām darbībām, kuru īstenošanu zinātņu universitātes var īstenot autonomi.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Otrajā kārtā līdz 2025. gada 31. decembrim ir sasniedzams nacionālais rādītājs – izveidots vienots studiju un mācību kursu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sasniedzamā rezultāta objektīvu sasniegšanas iespējamību, ņemot vērā, ka vienota studiju un mācību kursa reģistra izveide parasti ir saistīta ar apjomīgu plānošanas un ieviešanas procesu un nepieciešamības gadījumā nodrošināt rezultāta sasniegšanai ilgāku laika periodu, mazinot kvalitātes riskus rezultāta izveidē.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15.08.2024. 20.48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15.08.2024. 20.48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Atzinumi_24-TA-440.docx</dc:title>
</cp:coreProperties>
</file>

<file path=docProps/custom.xml><?xml version="1.0" encoding="utf-8"?>
<Properties xmlns="http://schemas.openxmlformats.org/officeDocument/2006/custom-properties" xmlns:vt="http://schemas.openxmlformats.org/officeDocument/2006/docPropsVTypes"/>
</file>