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plānotais kopējais finansējums ir 67 841 032 euro (no tā elastības finansējums – 18 030 262 euro), tai skaitā Eiropas Sociālā fonda Plus finansējums – 57 664 877 euro (no tā elastības finansējums – 15 325 723 euro) un valsts budžeta līdzfinansējums – 10 176 155 euro (no tā elastības finansējums – 2 704 539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Ministru kabineta noteikumu projekta 6.punktā norādītos finansējuma apmērus sadalījumā pa finansējuma avotiem ar anotācijā minēto šim pasākumam plānoto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22.1.3. šo noteikumu </w:t>
            </w:r>
            <w:r w:rsidR="00000000" w:rsidRPr="00000000" w:rsidDel="00000000">
              <w:rPr>
                <w:rtl w:val="0"/>
              </w:rPr>
              <w:t xml:space="preserve">14.1.</w:t>
            </w:r>
            <w:r w:rsidR="00000000" w:rsidRPr="00000000" w:rsidDel="00000000">
              <w:rPr>
                <w:rtl w:val="0"/>
              </w:rPr>
              <w:t xml:space="preserve"> apakšpunktā minēto sadarbības partneru projekta īstenošanas personāla izmaksas (izņemot virsstundas) šo noteikumu </w:t>
            </w:r>
            <w:r w:rsidR="00000000" w:rsidRPr="00000000" w:rsidDel="00000000">
              <w:rPr>
                <w:rtl w:val="0"/>
              </w:rPr>
              <w:t xml:space="preserve">20.2.</w:t>
            </w:r>
            <w:r w:rsidR="00000000" w:rsidRPr="00000000" w:rsidDel="00000000">
              <w:rPr>
                <w:rtl w:val="0"/>
              </w:rPr>
              <w:t xml:space="preserve"> un </w:t>
            </w:r>
            <w:r w:rsidR="00000000" w:rsidRPr="00000000" w:rsidDel="00000000">
              <w:rPr>
                <w:rtl w:val="0"/>
              </w:rPr>
              <w:t xml:space="preserve">20.3.</w:t>
            </w:r>
            <w:r w:rsidR="00000000" w:rsidRPr="00000000" w:rsidDel="00000000">
              <w:rPr>
                <w:rtl w:val="0"/>
              </w:rPr>
              <w:t xml:space="preserve"> apakšpunktā minēto atbalstāmo darbību īstenošanai. Ja šo noteikumu </w:t>
            </w:r>
            <w:r w:rsidR="00000000" w:rsidRPr="00000000" w:rsidDel="00000000">
              <w:rPr>
                <w:rtl w:val="0"/>
              </w:rPr>
              <w:t xml:space="preserve">14.1.</w:t>
            </w:r>
            <w:r w:rsidR="00000000" w:rsidRPr="00000000" w:rsidDel="00000000">
              <w:rPr>
                <w:rtl w:val="0"/>
              </w:rPr>
              <w:t xml:space="preserve"> apakšpunktā minētā sadarbības partnera personāla iesaiste šo noteikumu </w:t>
            </w:r>
            <w:r w:rsidR="00000000" w:rsidRPr="00000000" w:rsidDel="00000000">
              <w:rPr>
                <w:rtl w:val="0"/>
              </w:rPr>
              <w:t xml:space="preserve">20.2.</w:t>
            </w:r>
            <w:r w:rsidR="00000000" w:rsidRPr="00000000" w:rsidDel="00000000">
              <w:rPr>
                <w:rtl w:val="0"/>
              </w:rPr>
              <w:t xml:space="preserve"> un </w:t>
            </w:r>
            <w:r w:rsidR="00000000" w:rsidRPr="00000000" w:rsidDel="00000000">
              <w:rPr>
                <w:rtl w:val="0"/>
              </w:rPr>
              <w:t xml:space="preserve">20.3.</w:t>
            </w:r>
            <w:r w:rsidR="00000000" w:rsidRPr="00000000" w:rsidDel="00000000">
              <w:rPr>
                <w:rtl w:val="0"/>
              </w:rPr>
              <w:t xml:space="preserve"> apakšpunktā minēto atbalstāmo darbību īstenošanai ir nodrošināta saskaņā ar daļlaika attiecināmības principu, attiecināma ir ne mazāk kā 20 procentu noslodze;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Finanšu ministrijas vadlīnijas Nr.1.2. "Vadlīnijas attiecināmo izmaksu noteikšanai Eiropas Savienības kohēzijas politikas programmas 2021.-2027.gada plānošanas periodā" paredz, ka tiešajās attiecināmajās personāla izmaksās var iekļaut to darbinieku atlīdzības izmaksas, kuri ne mazāk kā 30% no normālā darba laika katrā mēnesī veic pienākumus projektā, un ka ar MK noteikumu projekta 21.1.3. apakšpunktā paredzēto 20% noslodzi tiek veidots izņēmums, lūdzam administratīvā sloga mazināšanai paredzēt, ka nodarbinātajiem, kas strādā daļlaiku mazāk nekā 30% apmērā no normālā darba laika, attiecina izmaksas saskaņā ar sadarbības partnera personāla atalgojuma politikā noteikto stundas atlīdzības likmi, ņemot vērā projektā nostrādāto stundu skaitu, un tiešajās attiecināmajās personāla atlīdzības izmaksās iekļauj darbinieka darba algu un valsts sociālās apdrošināšanas obligātās iemaksas no apliekamajām attiecināmajām izmaksām, bet neiekļauj normatīvajos aktos noteiktās piemaksas un sociālo garantiju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22.15. grantu konkursu organizēšanas un īstenošanas izmaksas šo noteikumu </w:t>
            </w:r>
            <w:r w:rsidR="00000000" w:rsidRPr="00000000" w:rsidDel="00000000">
              <w:rPr>
                <w:rtl w:val="0"/>
              </w:rPr>
              <w:t xml:space="preserve">20.6.</w:t>
            </w:r>
            <w:r w:rsidR="00000000" w:rsidRPr="00000000" w:rsidDel="00000000">
              <w:rPr>
                <w:rtl w:val="0"/>
              </w:rPr>
              <w:t xml:space="preserve"> apakšpunktā minētās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grantu konkursiem lūdzam anotācijā sniegt plašāku un precīzāku informāciju par tajos paredzētajām darbībām un plānotajām attiecināmajām izmaksām, kā arī atkārtoti aicinām grantu konkursu izmaksām piemērot vienkāršotās izmaksas, piemēram, fiksētās summas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pasākuma ietvaros veikto investīciju ilgtspējas nodrošināšanu gan valsts, gan pašvaldību līmenī, t.sk. veicot aprēķinus par sistēmas uzturēšanai nepieciešamā finansējuma apjomu un norādot finansējuma avotus, no kuriem šie izdevumi tiks segti. Tāpat vēršam uzmanību, ka, ja projekta ietvaros ieviestās sistēmas uzturēšanai nepieciešams papildu valsts budžeta finansējums, tad jautājums par papildus nepieciešamo finansējumu ir izskatāms Ministru kabinetā kārtējā gada valsts budžeta sagatavošanas un izskatīšanas procesā kopā ar visu ministriju un centrālo valsts iestāžu iesniegtajiem prioritāro pasākumu pieteikumiem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ar informāciju par valsts līmeņa profesionālā atbalsta centra komandas institucionālo statusu/piederību un skaitlisko sastāvu.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20.3.</w:t>
            </w:r>
            <w:r w:rsidR="00000000" w:rsidRPr="00000000" w:rsidDel="00000000">
              <w:rPr>
                <w:rtl w:val="0"/>
              </w:rPr>
              <w:t xml:space="preserve"> un </w:t>
            </w:r>
            <w:r w:rsidR="00000000" w:rsidRPr="00000000" w:rsidDel="00000000">
              <w:rPr>
                <w:rtl w:val="0"/>
              </w:rPr>
              <w:t xml:space="preserve">20.4.</w:t>
            </w:r>
            <w:r w:rsidR="00000000" w:rsidRPr="00000000" w:rsidDel="00000000">
              <w:rPr>
                <w:rtl w:val="0"/>
              </w:rPr>
              <w:t xml:space="preserve"> apakšpunktā minēto atbalstāmo darbību īstenošanā, kas attiecas uz izglītības nodrošināšanu valsts valodā, projekta iesniedzējs kā sadarbības partneri paredz iesaistīt valsts pārvaldes iestādi, kas ir atbildīga par latviešu valodas apguves atbalsta nodrošināšanu.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iestādes nosaukumu, kas ir atbildīga par latviešu valodas apguves atbalsta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Tokareva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20.5.</w:t>
            </w:r>
            <w:r w:rsidR="00000000" w:rsidRPr="00000000" w:rsidDel="00000000">
              <w:rPr>
                <w:rtl w:val="0"/>
              </w:rPr>
              <w:t xml:space="preserve"> apakšpunktā minētās atbalstāmās darbības īstenošanā projekta iesniedzējs kā sadarbības partneri paredz iesaistīt valsts pārvaldes iestādi, kura saskaņā ar normatīvajiem aktiem ir valsts izglītības un pārbaudījumu informācijas sistēmu pārzinis.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iestādes nosaukumu, kas ir valsts izglītības un pārbaudījumu informācijas sistēmu pārzinis.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Tokareva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 valsts izveidotu izglītības digitālo platformu pilnveide un attīstība, tai skaitā nodrošinot tajās ietverto mācību resursu pieejamību pedagogu atbalstam, talantīgo izglītojamo dalību atbalsta pasākumos tiešsaistē, kā arī vērtēšanas sistēmas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anotācijā ir minēts, ka šīs darbības ietvaros tiek plānots paplašināt Valsts pārbaudījumu informācijas sistēmu un Valsts izglītības informācijas sistēmu un attīstīt to funkcionalitāti, taču vienlaikus atbalsts Valsts izglītības informācijas sistēmas pilnveidei plānots arī citos pasākumos (piemēram, 4.2.2.4. pasākumā), lūdzam attiecībā uz minētajām informācijas sistēmām papildināt anotāciju ar skaidrojumu par iespējamo demarkāciju ar citiem ES fondu finansētiem SAM/pasākumiem un dubultā finansējuma riska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 komunikācijas pasākumi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uz: “komunikācijas un vizuālās identitātes prasību nodrošināšanas pasākumi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Tokareva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izmaksas mācību, izglītojošu, informatīvu,  sadarbības un tīklošanās pasākumu,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20.</w:t>
            </w:r>
            <w:r w:rsidR="00000000" w:rsidRPr="00000000" w:rsidDel="00000000">
              <w:rPr>
                <w:rtl w:val="0"/>
              </w:rPr>
              <w:t xml:space="preserve"> 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22.2., 22.6., 22.7., 22.8., 22.10. un 22.14. apakšpunktos norādīt konkrētus 20.punkta apakšpunktus.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Tokareva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 finansējuma saņēmēja, šo noteikumu </w:t>
            </w:r>
            <w:r w:rsidR="00000000" w:rsidRPr="00000000" w:rsidDel="00000000">
              <w:rPr>
                <w:rtl w:val="0"/>
              </w:rPr>
              <w:t xml:space="preserve">15.</w:t>
            </w:r>
            <w:r w:rsidR="00000000" w:rsidRPr="00000000" w:rsidDel="00000000">
              <w:rPr>
                <w:rtl w:val="0"/>
              </w:rPr>
              <w:t xml:space="preserve"> </w:t>
            </w:r>
            <w:r w:rsidR="00000000" w:rsidRPr="00000000" w:rsidDel="00000000">
              <w:rPr>
                <w:shd w:fill="#e0ffff" w:val="clear"/>
                <w:rtl w:val="0"/>
              </w:rPr>
              <w:t xml:space="preserve"> un </w:t>
            </w:r>
            <w:r w:rsidR="00000000" w:rsidRPr="00000000" w:rsidDel="00000000">
              <w:rPr>
                <w:rtl w:val="0"/>
              </w:rPr>
              <w:t xml:space="preserve">16.</w:t>
            </w:r>
            <w:r w:rsidR="00000000" w:rsidRPr="00000000" w:rsidDel="00000000">
              <w:rPr>
                <w:rtl w:val="0"/>
              </w:rPr>
              <w:t xml:space="preserve"> </w:t>
            </w:r>
            <w:r w:rsidR="00000000" w:rsidRPr="00000000" w:rsidDel="00000000">
              <w:rPr>
                <w:shd w:fill="#e0ffff" w:val="clear"/>
                <w:rtl w:val="0"/>
              </w:rPr>
              <w:t xml:space="preserve"> </w:t>
            </w:r>
            <w:r w:rsidR="00000000" w:rsidRPr="00000000" w:rsidDel="00000000">
              <w:rPr>
                <w:rtl w:val="0"/>
              </w:rPr>
              <w:t xml:space="preserve">punktā minēto sadarbības partneru jaunradītu darba vietu aprīkojuma, tai skaitā biroja mēbeļu un tehnikas, datorprogrammu un licences iegādes vai īres izmaksas, aprīkojuma uzturēšanas un remonta izmaksas, ne vairāk kā 3000 euro vienai darba vietai visā projekta īstenošanas laikā, ja projekta vadības vai īstenošanas personāls ir nodarbināts projektā uz darba līguma vai rīkojuma pamata. Ja projekta vadības vai īstenošanas personāls ir nodarbināts nepilnu darba laiku vai daļlaiku, jaunradītas darba vietas aprīkojuma iegādes vai īres izmaksas ir attiecināmas proporcionāli darba slodzes procentuālajam sadalījumam;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1.teikuma sākumu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šo noteikumu 15.  un 16.  punktā minēto sadarbības partneru projekta vadības un projekta īstenošanas personāla jaunradītu darba vietu aprīkojuma".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Tokareva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 finansējuma saņēmēja, šo noteikumu </w:t>
            </w:r>
            <w:r w:rsidR="00000000" w:rsidRPr="00000000" w:rsidDel="00000000">
              <w:rPr>
                <w:rtl w:val="0"/>
              </w:rPr>
              <w:t xml:space="preserve">15.</w:t>
            </w:r>
            <w:r w:rsidR="00000000" w:rsidRPr="00000000" w:rsidDel="00000000">
              <w:rPr>
                <w:rtl w:val="0"/>
              </w:rPr>
              <w:t xml:space="preserve"> </w:t>
            </w:r>
            <w:r w:rsidR="00000000" w:rsidRPr="00000000" w:rsidDel="00000000">
              <w:rPr>
                <w:shd w:fill="#e0ffff" w:val="clear"/>
                <w:rtl w:val="0"/>
              </w:rPr>
              <w:t xml:space="preserve"> un </w:t>
            </w:r>
            <w:r w:rsidR="00000000" w:rsidRPr="00000000" w:rsidDel="00000000">
              <w:rPr>
                <w:rtl w:val="0"/>
              </w:rPr>
              <w:t xml:space="preserve">16.</w:t>
            </w:r>
            <w:r w:rsidR="00000000" w:rsidRPr="00000000" w:rsidDel="00000000">
              <w:rPr>
                <w:rtl w:val="0"/>
              </w:rPr>
              <w:t xml:space="preserve"> </w:t>
            </w:r>
            <w:r w:rsidR="00000000" w:rsidRPr="00000000" w:rsidDel="00000000">
              <w:rPr>
                <w:shd w:fill="#e0ffff" w:val="clear"/>
                <w:rtl w:val="0"/>
              </w:rPr>
              <w:t xml:space="preserve"> </w:t>
            </w:r>
            <w:r w:rsidR="00000000" w:rsidRPr="00000000" w:rsidDel="00000000">
              <w:rPr>
                <w:rtl w:val="0"/>
              </w:rPr>
              <w:t xml:space="preserve">punktā minēto sadarbības partneru jaunradītu darba vietu aprīkojuma, tai skaitā biroja mēbeļu un tehnikas, datorprogrammu un licences iegādes vai īres izmaksas, aprīkojuma uzturēšanas un remonta izmaksas, ne vairāk kā 3000 euro vienai darba vietai visā projekta īstenošanas laikā, ja projekta vadības vai īstenošanas personāls ir nodarbināts projektā uz darba līguma vai rīkojuma pamata. Ja projekta vadības vai īstenošanas personāls ir nodarbināts nepilnu darba laiku vai daļlaiku, jaunradītas darba vietas aprīkojuma iegādes vai īres izmaksas ir attiecināmas proporcionāli darba slodzes procentuālajam sadalījumam;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paredzēt arī 14.punkta partnerim darba vietu aprīkojuma iegādi vai anotācijā aprakstīt, kāpēc šim sadarbības partnerim nav paredzēts šis aprīkojums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Tokareva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22.9. ārvalstu komandējumu un dienesta braucienu izmaksas atbilstoši normatīvajiem aktiem par kārtību, kādā atlīdzināmi ar komandējumiem saistītie izdevumi, finansējuma saņēmēja projekta vadības un īstenošanas personālam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20.3.</w:t>
            </w:r>
            <w:r w:rsidR="00000000" w:rsidRPr="00000000" w:rsidDel="00000000">
              <w:rPr>
                <w:rtl w:val="0"/>
              </w:rPr>
              <w:t xml:space="preserve">, </w:t>
            </w:r>
            <w:r w:rsidR="00000000" w:rsidRPr="00000000" w:rsidDel="00000000">
              <w:rPr>
                <w:rtl w:val="0"/>
              </w:rPr>
              <w:t xml:space="preserve">20.4.</w:t>
            </w:r>
            <w:r w:rsidR="00000000" w:rsidRPr="00000000" w:rsidDel="00000000">
              <w:rPr>
                <w:shd w:fill="#ffffff" w:val="clea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20.7.</w:t>
            </w:r>
            <w:r w:rsidR="00000000" w:rsidRPr="00000000" w:rsidDel="00000000">
              <w:rPr>
                <w:rtl w:val="0"/>
              </w:rPr>
              <w:t xml:space="preserve"> apakšpunktā minēto atbalstāmo darbību īstenošanai, ja tās ir skaidri saistāmas ar projekta rezultātu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sīkāk paskaidrot kāpēc ir vajadzīgi ārvalstu komandējumi un ko tie sevī ietver. Attiecīgi precizējot attiecināmo darbību numurus, jo, piemēram pašlaik pirmšķietami šķiet, ka 20.6.punkts “nacionāla līmeņa pedagogu pieredzes tīkla izveide” nebūs attiecināms, jo pēc būtības paredz darbības nacionālā līmenī. Līdzīgi ar 20.4.punktu “mācību līdzekļu izstrāde vai adaptācija, tai skaitā aprobācija, recenzēšana un publicēšana” darbību būtība neparedz ārvalstu komandējumu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ja ārvalstu komandējumos piedalīsies projekta personāls, norādīt, ka ārvalstu pakalpojumi ir attiecināmi arī uz 20.8.darbību, papildinot ar informāciju 22.9.punktu, ka izmaksas ir attiecināmas projekta vadības un/vai projekta īstenošanas personālam.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Tokareva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izmaksas šo noteikumu </w:t>
            </w:r>
            <w:r w:rsidR="00000000" w:rsidRPr="00000000" w:rsidDel="00000000">
              <w:rPr>
                <w:rtl w:val="0"/>
              </w:rPr>
              <w:t xml:space="preserve">31.1.</w:t>
            </w:r>
            <w:r w:rsidR="00000000" w:rsidRPr="00000000" w:rsidDel="00000000">
              <w:rPr>
                <w:rtl w:val="0"/>
              </w:rPr>
              <w:t xml:space="preserve"> apakšpunktā minēto izvērtējumu veikšanai un publicēšanai;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atbalstāmo apakšdarbību šīs izmaksu pozīcijas attiecināmībai zem 20.punkta.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Tokareva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35.5. horizontālā principa “Vienlīdzība, iekļaušana, nediskriminācija un pamattiesību ievērošana”  rādītājs: izstrādāto vai pilnveidoto izglītības programmu, metodisko līdzekļu, vadlīniju, mācību līdzekļu, tai skaitā digitālo,  kuros ir integrēti dzimumu līdztiesības, personu ar invaliditāti vienlīdzīgu iespēju, vecuma nediskriminācijas, etniskās un citas piederības un pamattiesību jautājumi,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rādītāja nosaukumu atbilstoši vadlīniju “Horizontālais princips “Vienlīdzība, iekļaušana, nediskriminācija un pamattiesību ievērošana” vadlīnijas īstenošanai un uzraudzībai (2021-2027) 4.pielikumā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"Izstrādāto vai pilnveidoto stratēģiju, izglītības programmu, metodisko līdzekļu, vadlīniju, mācību līdzekļu (tai skaitā digitālo), skaits, kuros integrēti jautājumi par dzimumu līdztiesību, personu ar invaliditāti vienlīdzīgām iespējām, diskriminācijas novēršanu vecuma, etniskās piederības un citu iemeslu dēļ, kā arī pamattiesību jautājumi, tostarp par tiesiskajiem un praktiskajiem aspektiem."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sadaļā "Risinājuma apraksts" pie nacionālo rādītāju apraksta ar informāciju, ka detalizētāku informāciju par rādītājiem (piemēram, rādītāja dalījums pa mācību priekšmetiem, izglītības iestāžu dibinātāji, veids, pakāpe u.c.) finansējuma saņēmējs uzkrāj pie sevis, ņemot vērā, ka Kohēzijas politikas fondu vadības informācijas sistēmā šādā detalizācijā rādītājus nav iespējams uzkrāt.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no izziņas 61.punktā iekļautā skaidrojuma par ieguvumu izmaksu analīzi, lai nodrošinātu pilnīgāku informāciju, kāpēc aprēķini nav iespējami, bet kopumā plānots pozitīvs ieguvums un tas iekļauts anotācijā, nevis tiek prasīts no finansējuma saņēmēja.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