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3. februāra noteikumos Nr. 108 "Normatīvo aktu projektu sagatavošanas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attiecīgo informāciju, vai minētais nosacījums ir attiecināms arī uz grozījumu projektiem, kā arī kādus nosacījumus būs jāievēro attiecīgajā brīdī, ja tiks grozīti (papildināti) noslēguma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(noteikumu) projektu, atvasināta publiska persona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iekavās svītrot vārdu "noteikumu", jo noteikumu 7.nodaļā ir runa par iekšējo normatīvo aktu projektiem piemērojamām prasībām, kā arī ar atvasinātām publiskām personām saprot arī pašvaldības, kas izstrādā saistošos noteikumus. Līdz ar to regulējums nav attiecināms tikai uz noteikumiem un aptver plašāku tvērumu. Tāpat atsauce būtu jāveido arī uz  noteikumu 6.nodaļu.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16.08.2024.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16.08.2024.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Atzinumi_23-TA-767.docx</dc:title>
</cp:coreProperties>
</file>

<file path=docProps/custom.xml><?xml version="1.0" encoding="utf-8"?>
<Properties xmlns="http://schemas.openxmlformats.org/officeDocument/2006/custom-properties" xmlns:vt="http://schemas.openxmlformats.org/officeDocument/2006/docPropsVTypes"/>
</file>