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anotācijas 1.3. sadaļu ar skaidrojumu, vai pie aizsargjoslas palielināšanās vai nobīdes likumprojektā noteiktajos gadījumos personas, kuras ir zemes īpašnieki un kuras šie būvdarbi ietekmē, vienmēr varēs pretendēt uz atlīdzību saskaņā ar projekta anotācijā minētajiem Ministru kabinetu noteikumiem par atlīdzības aprēķināšanu un izmaksu.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26.06.2023.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26.06.2023.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