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kritērijiem un kārtību, kādā tiek izraudzītas nevalstiskās organizācijas darbam Sabiedrības integrācijas fonda padomē, un atlīdzību Sabiedrības integrācijas fonda padomes locekļiem, kuri ir nevalstisko organizāciju pārstāvji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vācu kultūras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kritērijiem un kārtību, kādā tiek izraudzītas nevalstiskās organizācijas darbam Sabiedrības integrācijas fonda padomē, un atlīdzību Sabiedrības integrācijas fonda padomes locekļiem, kuri ir nevalstisko organizāciju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kritērijiem un kārtību, kādā tiek izraudzītas nevalstiskās organizācijas darbam Sabiedrības integrācijas fonda padomē, un atalgojumu Sabiedrības integrācijas fonda padomes locekļiem, kuri ir nevalstisko organizāciju pārstāvji”  Projekta ID: 25-TA-1409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„Rīgas Vācu kultūras biedrība” (turpmāk – RVKB) ir iepazinusies ar Kultūras ministrijas laboto Noteikumu projektu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Izsakām pateicību par ieklausīšanos NVO viedoklī attiecībā uz NVO darbības  jomu formulējumiem Noteikumu projekta 6.6.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izteikt Noteikumu projekta 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Nevalstiskā organizācija ir tiesīga deleģēt savu pārstāvi darbam fonda padomē atkārtoti ne vairāk kā divus pilnvaru termiņus pēc 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Atkārtoti iebilstam pret Noteikumu projekta 7. punkta tagadējo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punktus: 7.3. un 7.5.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atlases procesā, ja persona nevarēs sniegt prezentāciju latviešu valodā, viennozīmīgi šis kandidāts netiks virzīts tālākai dalībai, jo ir pašsaprotami, ka visās valsts institūcijās darbs notiek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personas rīcībspēja ir ierobežota, tad tās vārdā rīkojas aizgādnis. Arī šādā, mūsu ieskatā 0.001% iespējamā situācijā, ja NVO izvirza personu, kuras vārdā rīkojas aizgādnis, tālāka virzība konkursā būtu izslēgta. Tas ir pašsaprotami, un šāda viennozīmīga tiesību normu izpratne ir izsecināma no visas tiesību sistēmas. Piemēram, likuma “Par tiesu varu” 51.pantā noteiktās tiesnesim izvirzāmās prasības neuzskaita arī rīcībspēju. Vai rīcībnespējīga persona varētu sekmīgi virzīties konkursā uz tiesneša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divi punkti ir acīmredzama liekvārdība, tie nenes nekādu juridisku slodzi.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uzticēšanos Sabiedrības integrācijas fonda darbībai, kā arī vairotu labo praksi valsts institūciju darbībā, ievērojot arī ētiskus un morālus principus, atkārtoti aicinām papildināt 7.punktu ar vēl diviem NVO pārstāvju un viņu aizvietotāju kritērijiem līdzīgi kā tas tiek noteikts arī Konkurences padomes priekšsēdētāja un padomes locekļu amata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7.punktu (prasības NVO pārstāvim) ar vēl 2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kurai nav pasludināts fiziskās personas maksātnespējas process un no tā izbeigšanas dienas ir pagājuši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ieguvusi parādnieka statusu saskaņā ar Uzturlīdzekļu garantiju fonda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punkti skaidri norādītu uz valsts attieksmi pret kandidādu integritāti.  Nav nekāda juridiska un institucionāla pamatojuma šos priekšlikumus neņemt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Aizvietojot šos apakšpunktus Noteikumu projekta 7.punktā ievērojami celtos Noteikumu projekta juridiskā, jēgpilnā kvalitāte.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Noteikumu projekta II daļu papildināt ar punktu, kas nosaka, kuros gadījumos NVO pārstāvja aizvietotājs ir tiesīgs aizvietot NVO pārstāvi fonda padomes sēdē. Šobrīd Noteikumu projektā nav skaidri noteikti gadījumi, kad NVO pārstāvja aizvietošana ir pieļaujama, kā arī šādas normas ieviešana nav pretrunā ar Sabiedrības integrācijas fonda likumu. Lai ievērotu vienlīdzības principu starp visiem padomes locekļiem, aicinām precizēt šos nosacījumus, paredzot konkrētus attaisnojošus iemeslus, piemēram, slimību, atvaļinājumu, komandējumu, bērna kopšanas atvaļinājumu, ilgstošu prombūtni un/vai citus objektīvi pamatotus apstākļus, kas ļautu padomē uz laiku aizvietot arī NVO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Principā šis bija viens no akūtākajiem un sāpīgākajiem jautājumiem, kāpēc vispār nepieciešami grozījumi šajos Noteikumos. Bet būtiskākais tiek atstāts novārtā. Pēc būtības pašreiz tiek grozīts viss cits riņķī un apkārt, un izšķiroši, būtiski, SIF padomes darba nepārtrauktību un jēgpilnu NVO iesaisti nodrošinoši aspekti paliek nerisināti.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Rosinām steidzami sistēmiski risināt jautājumu par NVO pārstāvju - SIF padomes locekļu - iespējām turpināt darbību SIF padomē bezdarbnieka statusa iegūšanas gadījumā. Bezdarbnieka statusam pēc būtības nevajadzētu būt tieši saistītam (resp. izslēdzošam) ar perosnas darbību SIF padomē. Nodarbinātība klasiskā izpratnē nav pielīdzināma pilsoniskajai pārstāvībai ar neregulāru intensitāti. Pēc būtības šāda situācija var liegt personai būt pilsoniski aktīvai bezdarba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Šulmane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05.11.2025.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05.11.2025.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Atzinumi_25-TA-1409.docx</dc:title>
</cp:coreProperties>
</file>

<file path=docProps/custom.xml><?xml version="1.0" encoding="utf-8"?>
<Properties xmlns="http://schemas.openxmlformats.org/officeDocument/2006/custom-properties" xmlns:vt="http://schemas.openxmlformats.org/officeDocument/2006/docPropsVTypes"/>
</file>