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lai maksimāli novērstu aretsētās mantas nesamērīgi ilgstošu glabāšanu, likumprojekta anotācijas 1.3. daļā “Pašreizējā situācija, problēmas un risinājumi”, attiecībā uz 365. panta izteikšanu jaunā redakcijā, sadaļas “Risinājuma apraksts” 7. rindkopa būtu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 daļa paredz arī to, ka mantu, izņemot finanšu līdzekļus, pārvaldniekam pārvaldībā nodod uz laiku ne ilgāk par pusi no pirmstiesas procesā pieļautā mantas aresta termiņa. Attiecīgais mantas pārvaldības termiņš ir sasaistīts ar mantas aresta termiņiem pirmstiesas kriminālprocesā (KPL 389. panta pirmā un 1.1 daļa) un atkarīgs no izdarītā noziedzīgā nodarījuma klasifikācijas.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pārvaldības tiesisko regulējumu paredzēts papildināt ar konkrētiem pārvaldības termiņiem. Šādas izmaiņas veiktas nolūkā novērst nesamērīgi ilgu (ilgstošu) mantas pārvaldību gadījumos, kad attiecīgajā kriminālprocesā tā vairs nav objektīvi nepieciešama, kā arī lai samazinātu ar mantas pārvaldību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Terminēta arestētās mantas pārvaldība veicinās procesa virzītāju aktīvu un mērķtiecīgu rīcību visās kriminālprocesa stadijās, ļaujot izvērtēt mantas ilgstošas pārvaldības nepieciešamību. Tādejādi terminēta arestētās mantas pārvaldība nodrošina savlaicīgu un pamatotu risinājumu arestētās mantas pārvaldībai pirmstiesas procesā, vienlaikus veicinot mantas realizāciju vai iznīcināšanu pirms gala nolēmuma pieņemšanas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Iztekot attiecīgajam termiņam, mantas pārvaldība ir izbeidzama, taču izmeklēšanas tiesnesis pirmstiesas procesā un augstāka līmeņa tiesas tiesnesis iztiesāšanas laikā var pagarināt termiņu vēl par trīs mēnešiem, ja tam ir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iztekot mantas pārvaldības termiņam, procesa virzītājs pieņem lēmumu par mantas realizāciju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Meija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