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23-TA-263: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2021.–2027.gadam 2.1.3. specifiskā atbalsta mērķa “Veicināt pielāgošanos klimata pārmaiņām, risku novēršanu un noturību pret katastrofām” 2.1.3.3. pasākuma “Katastrofu risku mazināšanas pasākumi” pirmās projektu iesniegumu atlases kārtas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Eiropas Savienības kohēzijas politikas programmas 2021.–2027.gadam 2.1.3. specifiskā atbalsta mērķa “Veicināt pielāgošanos klimata pārmaiņām, risku novēršanu un noturību pret katastrofām” 2.1.3.3. pasākuma “Katastrofu risku mazināšanas pasākumi” pirmās projektu iesniegumu atlases kārtas īstenošanas noteikumi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MK noteikumu projekts pašlaik neatrunā rezultātu/ rādītāju ilgtspēju – kurš un cik ilgi nodrošina ilgtspēju. Lūdzam papildināt.</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Rūdolfs Elksniņš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 Vispārīgie jautājumi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iespēju papildināt noteikumu projektu ar punktu, kas nosaka sociāli atbildīga publiskā iepirkumu un inovatīvu publiskā iepirkumu piemērošanu.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Bāliņa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 Vispārīgie jautājumi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projektu ar punktu, kas nosaka plānoto projektu īstenošanas vietu.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Bāliņa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 Vispārīgie jautājumi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informāciju visā noteikumu projektā un anotācijā attiecībā uz projektu skaitu (projekta iesniegumu skaitu). No šī brīža redakcijas nevar viennozīmīgi saprast, vai tiek paredzēts viens projekta iesniegums vai vairāki, ņemot vērā, ka anotācijā un noteikumu projektā ar vārdu "projekts" tiek apzīmēts gan projekta iesniegums, kuru finansējuma saņēmējs iesniedz KPVIS (atbilstoši noteikumu projekta 11. punktam paredzēts viens), gan arī atsevišķi ABS+ un KaZa projekti.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Viktorija Fomčenkova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prasības Eiropas Reģionālās attīstības fonda projektu iesniedzējam un projekta sadarbības partnerim;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projekta 1.4.apakšpunktu ar vārdiem "finansējuma saņēmējam" aiz vārda "iesniedzējam", ņemot vērā, ka noteikumu projekts paredz arī uz finansējuma saņēmēju attiecināmu regulējumu.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Bāliņa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Pasākuma pirmajai kārtai pieejamais kopējais attiecināmais finansējums: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7. punktu ar apakšpunktiem, sākumā norādot pasākuma pirmās kārtas ietvaros paredzēto kopējo plānoto un pieejamo finansējumu, un atsevišķi kopējo plānoto un pieejamo finansējumu projekta (projekta iesnieguma) ietvaros. Attiecīgi lūdzam precizēt informāciju par finansējumu arī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Viktorija Fomčenkova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7.3. valsts budžeta atbalsta intensitāte – 15 procenti;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normas uztveramību, lūdzam noteikumu projekta 7.3. un 7.4.apakšpunktu izteikt kā jaunu punktu šādā redakcijā: "Finansējuma intensitāte projekta iesniegumā norādītajai attiecināmajai izmaksu pozīcijai nepārsniedz 85 procentus Eiropas Reģionālās attīstības fonda finansējuma un 15 procentus valsts budžeta atbalsta no attiecīgās izmaksu pozīcijas kopējām attiecināmajām izmaksām.".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ņemot vērā noteikumu projekta 13.punktā noteikto "</w:t>
            </w:r>
            <w:r w:rsidR="00000000" w:rsidRPr="00000000" w:rsidDel="00000000">
              <w:rPr>
                <w:i w:val="1"/>
                <w:rtl w:val="0"/>
              </w:rPr>
              <w:t xml:space="preserve">projektu iesniedzējs nodrošina, ka projektu kopējie ieguvumi un ietaupījumi ir lielāki par projekta investīciju un darbības izmaksām visā projektu pārskata periodā</w:t>
            </w:r>
            <w:r w:rsidR="00000000" w:rsidRPr="00000000" w:rsidDel="00000000">
              <w:rPr>
                <w:rtl w:val="0"/>
              </w:rPr>
              <w:t xml:space="preserve">", lūdzam papildināt noteikumu projekta 7.4.apakšpunktu ar informāciju, ka Eiropas Reģionālās attīstības fonda intensitāte nepārsniedz izmaksu un ieguvumu analīzē iegūto finansējuma deficīta procentuālo apmēru.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Inita Petrova (FM) (Gundega Morgana (FM) vietā)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II. Prasības projektu iesniedzējam un projektu sadarbības partnerim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projekta sadaļu ar finansējuma saņēmēja un sadarbības partnera sadarbības nosacījumiem, pienākumiem un tiesībām, projekta mērķu un rādītāju savstarpējo sasniegšanu dalījumu, kā arī norādot sadarbības partnera veicamās darbības un resursus, ar kādiem tas iesaistās projektā.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Bāliņa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12.2. horizontālo principu “Klimatdrošināšana”.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projektu, norādot, kāda informācija ir jāuzkrāj finansējuma saņēmējam un ko tas iesniedz sadarbības iestādei par horizontālā principa “Klimatdrošināšana” un “Nenodarīt būtisku kaitējumu” rādītājiem.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Bāliņa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14.8. publicitātes pasākumi par projektu īstenošanu atbilstoši Eiropas Savienības fondu 2021.-2027. gada plānošanas perioda un Atveseļošanas fonda komunikācijas un dizaina vadlīnijām.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14.8.apakšpunkta redakciju, norādot atsauci gan uz regulu, gan nacionāliem normatīviem aktiem, t.i., "Eiropas Parlamenta un Padomes 2021. gada 24. jūnija Regulas (ES) Nr. 2021/1060, ar ko paredz kopīgus noteikumus par Eiropas Reģionālās attīstības fondu, Eiropas Sociālo fondu Plus, Kohēzijas fondu, Taisnīgas pārkārtošanās fondu un Eiropas Jūrlietu, zvejniecības un akvakultūras fondu un finanšu noteikumus attiecībā uz tiem un uz Patvēruma, migrācijas un integrācijas fondu, Iekšējās drošības fondu un Finansiāla atbalsta instrumentu robežu pārvaldībai un vīzu politikai 47. un 50. pantu un kārtību, kādā Eiropas Savienības fondu vadībā iesaistītās institūcijas nodrošina šo fondu ieviešanu 2021.–2027.gada plānošanas periodā".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14.8. publicitātes pasākumi par projektu īstenošanu atbilstoši Eiropas Parlamenta un Padomes 2021. gada 24. jūnija Regulas (ES) Nr. 2021/1060, ar ko paredz kopīgus noteikumus par Eiropas Reģionālās attīstības fondu, Eiropas Sociālo fondu Plus, Kohēzijas fondu, Taisnīgas pārkārtošanās fondu un Eiropas Jūrlietu, zvejniecības un akvakultūras fondu un finanšu noteikumus attiecībā uz tiem un uz Patvēruma, migrācijas un integrācijas fondu, Iekšējās drošības fondu un Finansiāla atbalsta instrumentu robežu pārvaldībai un vīzu politikai 47. un 50. pantam un kārtībai, kādā Eiropas Savienības fondu vadībā iesaistītās institūcijas nodrošina šo fondu ieviešanu 2021.–2027.gada plānošanas periodā, kā arī Eiropas Savienības fondu 2021.-2027. gada plānošanas perioda un Atveseļošanas fonda komunikācijas un dizaina vadlīnijām.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Inita Petrova (FM) (Gundega Morgana (FM) vietā)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Pasākuma pirmās kārtas tiešās attiecināmās izmaksas ietver:</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15.punktu, norādot atsauces uz konkrētām atbalstāmajām darbībām, tādejādi nodrošinot skaidru informācijas izsekojamību.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Bāliņa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Pasākuma pirmās kārtas tiešās attiecināmās izmaksas ietver:</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vienkāršoto izmaksu piemērošanas iespējas noteikumu projektā noteiktajām attiecināmajām izmaksām, lai mazinātu administratīvo slogu projekta īstenošanā.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Aija Trizna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15.2.3. sērijveida programmatūras iegādes izmaksas, tai skaitā licenču un uzturēšanas atbalsta atjauninājumu izmaksas licenču vai programmatūras darbības periodā, kas nepārsniedz piecus gadus;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norādīt viennozīmīgi skaidru periodu, piemēram, “piecus gadus pēc projekta īstenošanas”.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Rūdolfs Elksniņš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15.3. projekta vadības un īstenošanas personāla atlīdzības izmaksas, kas ietver projekta vadībā un īstenošanā iesaistīto ekspertu atalgojuma izmaksas atbilstoši Valsts un pašvaldību institūciju amatpersonu un darbinieku atlīdzības likuma nosacījumiem un radušās, pamatojoties uz darba līgumu, vienošanos vai rīkojumu par papildu pienākumu veikšanu projekta īstenošanas laikā, uz uzņēmuma līguma pamata, vai uz pakalpojumu līguma pamata;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projekta vadības un īstenošanas personāla izmaksas paredzēt kā vienkāršotās izmaksas, piemērojot vienoto personāla atlīdzības likmi līdz 20 %.  Informējam, ka, piemērojot vienoto likmi līdz 20 %, tās apmērs ir saskaņojams ar VI, kā arī apraksts/ pamatojums norādāms anotācijā. Gadījumā, ja vienotā likme 20 % apmērā nesedz visas projekta vadības un īstenošanas personāla atlīdzības izmaksas, lūdzam piemērot citu vienkāršoto izmaksu veidu/ risinājumu, attiecīgi izstrādājot vienkāršoto izmaksu metodiku.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Aija Trizna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15.3. projekta vadības un īstenošanas personāla atlīdzības izmaksas, kas ietver projekta vadībā un īstenošanā iesaistīto ekspertu atalgojuma izmaksas atbilstoši Valsts un pašvaldību institūciju amatpersonu un darbinieku atlīdzības likuma nosacījumiem un radušās, pamatojoties uz darba līgumu, vienošanos vai rīkojumu par papildu pienākumu veikšanu projekta īstenošanas laikā, uz uzņēmuma līguma pamata, vai uz pakalpojumu līguma pamata;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pārskatīt pret attiecināmo izmaksu vadlīnijām (minimālā slodze u.c. nosacījumi),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papildu pienākumu veikšanu projekta īstenošanas laikā” vērtējams uz piemaksu pamata aizvietojamības/vakances ietvaros. Pieļaujams īsā laika periodā, bet ne uz visu projekta īstenošanas laiku.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Rūdolfs Elksniņš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15.3.1. ar projekta darbībām tieši saistīto projekta vadības un īstenošanas personāla komandējumu izmaksas;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vai paredzēti iekšzemes vai ārvalstu komandējumi, kā arī paredzēt vadošās iestādes izstrādāto vienkāršoto izmaksu metodiku "Vienas vienības izmaksu standarta likmes aprēķina un piemērošanas metodika 1 km izmaksām darbības programmas “Izaugsme un nodarbinātība” un Eiropas Savienības kohēzijas politikas programmas 2021.–2027.gadam  īstenošanai" un "Vienas vienības izmaksu standarta likmes aprēķina un piemērošanas metodika iekšzemes komandējumu izmaksām darbības programmas “Izaugsme un nodarbinātība” un Eiropas Savienības kohēzijas politikas programmas 2021.–2027.gadam īstenošanai" piemērošanu.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Aija Trizna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15.3.2. finansējuma saņēmējiem un sadarbības partneriem projekta aktivitāšu īstenošanai un vadīšanai nepieciešamās informācijas un komunikācijas tehnoloģiju aparatūras un iekārtu iegādes vai nomas, kā arī biroja aprīkojuma izmaksas;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https://www.esfondi.lv/upload/Vadlinijas/vadlinijas_vienkarsotas_izmaksas_2021-2027.pdf</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 un 30. punkts, t.sk. 64. zemsvītras atsauce liecina, ka šādas izmaksas var plānot tikai netiešajās izmaksās, jāplāno konkrēta likme.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Rūdolfs Elksniņš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15.3.3. ar projekta darbībām tieši saistīto publicitātes un vizuālās identitātes pasākumu izmaksas, kas veiktas atbilstoši Eiropas Parlamenta un Padomes Regulai (ES) 2021/241 (2021. gada 12. februāris), ar ko izveido Atveseļošanas un noturības mehānismu 34. panta 2. punkta prasībām.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izteikt noteikumu projekta 15.3.3.punktu šādā redakcijā "15.3.3. ar projekta darbībām tieši saistīto publicitātes un vizuālās identitātes pasākumu izmaksas, kas veiktas saskaņā ar Eiropas Parlamenta un Padomes 2021. gada 24. jūnija Regulas (ES) Nr. 2021/1060 47. un 50. pantu un kārtību, kādā Eiropas Savienības fondu vadībā iesaistītās institūcijas nodrošina šo fondu ieviešanu 2021.–2027.gada plānošanas periodā, kā arī Eiropas Savienības fondu 2021.–2027. gada plānošanas perioda un Atveseļošanas fonda komunikācijas un dizaina vadlīnijām."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15.3.3. ar projekta darbībām tieši saistīto publicitātes un vizuālās identitātes pasākumu izmaksas, kas veiktas saskaņā ar Eiropas Parlamenta un Padomes 2021. gada 24. jūnija Regulas (ES) Nr. 2021/1060 47. un 50. pantu un kārtību, kādā Eiropas Savienības fondu vadībā iesaistītās institūcijas nodrošina šo fondu ieviešanu 2021.–2027.gada plānošanas periodā, kā arī Eiropas Savienības fondu 2021.–2027. gada plānošanas perioda un Atveseļošanas fonda komunikācijas un dizaina vadlīnijām.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Inita Petrova (FM) (Gundega Morgana (FM) vietā)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Pasākuma pirmās kārtas ietvaros atbalstāmās darbības, kas minētas šo noteikumu 13. punktā un vienlaikus sekmē šo noteikumu 2. punktā minēto mērķu sasniegšanu. Šo noteikumu 13. punktā minētās darbības tiek veiktas, piemērojot Publisko iepirkumu likumu, ciktāl attiecīgās darbības neveic pasākuma pirmās kārtas īstenošanā iesaistīto institūciju personāls. Atbalstāma ir vides prasību integrācija preču un pakalpojumu iepirkumos (zaļais publiskais iepirkums).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16.punktā noteikts, ka darbības tiks veiktas, ievērojot Publisko iepirkumu likumu. Skaidrojam, ka, lai izslēgtu komercdarbības atbalstu konkrētam piegādātājam vai pakalpojuma sniedzējam, publiskai personai, slēdzot iepirkuma līgumus, jārīkojas kā tirgus ekonomikas dalībniecei, proti, darījumam ir jāatbilst tirgus nosacījumiem. Tradicionāli tiek uzskatīts, ka, lai darījums tiktu uzskatīts par atbilstošu tirgus nosacījumiem, pietiek ar publiskā iepirkuma procedūru izmantošanu un ievērošanu. Tomēr praksē iepirkuma veikšana saskaņā ar publiskā iepirkuma noteikumiem vēl pati par sevi negarantē to, ka pretendentam netiek sniegta ekonomiska un selektīva priekšrocība, kas būtu kvalificējama kā komercdarbības atbalsts. Tas izriet no tā, ka publiskā iepirkuma nosacījumi paredz arī tādas iepirkuma procedūras kā, piemēram, sarunu procedūru, iepriekš nepublicējot paziņojumu par līgumu. Praksē darījums atbilst tirgus nosacījumiem un attiecīgi tiek izslēgta ekonomiskā priekšrocība pakalpojumu sniedzējiem, tādējādi novēršot saņēmējam komercdarbības atbalsta esamību, ja pakalpojumu sniedzēju izraudzīšanās notikusi atklātā, pārredzamā, nediskriminējošā un konkurenci nodrošinošā konkursa procedūrā. Konkursa procedūrai ir jābūt konkurenci nodrošinošai, lai procesā varētu piedalīties visi ieinteresētie un nosacījumiem atbilstīgie pretendenti, kā arī procedūrai ir jābūt pārredzamai, lai nodrošinātu, ka visi ieinteresētie pretendenti katrā konkursa procedūras posmā ir vienādi un pienācīgi informēti. Konkursam jābūt pietiekami plaši publiskotam, lai par to varētu uzzināt potenciālie piedāvājumu iesniedzēji. Nepieciešamie priekšnosacījumi ir nediskriminējoša attieksme pret visiem piedāvājumu iesniedzējiem visos procedūras posmos un objektīvu atlases un līguma slēgšanas kritēriju noteikšana pirms procedūras. Lai garantētu vienlīdzīgu attieksmi, līguma slēgšanas kritērijiem būtu jābūt tādiem, kas dod iespēju objektīvi salīdzināt un novērtēt piedāvājumus.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noteikumu projektā norādīt, ka, īstenojot projektu, finansējuma saņēmējs izvēlas preču piegādātājus un pakalpojumu sniedzējus saskaņā ar normatīvajiem aktiem publisko iepirkumu jomā, īstenojot atklātu, pārredzamu, nediskriminējošu un konkurenci nodrošinošu procedūru.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 Ķīse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Projektu iesniedzējs nodrošina, ka pirmās kārtas projektu iesniegumā plānotās izmaksas netiek segtas no līdzekļiem, kas paredzēti citiem specifiskiem atbalsta mērķiem Eiropas Savienības kohēzijas politikas programmas 2021.–2027.gadam ietvaros.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dzēst, jo dubultā finansējuma kontrole atrunāta 25.punktā.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Rūdolfs Elksniņš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 Pievienotās vērtības nodoklis, kas tiešā veidā saistīts ar projektu, uzskatāms par attiecināmām izmaksām saskaņā ar Eiropas Parlamenta un Padomes 2021. gada 24. jūnija Regulas (ES) Nr. 2021/1060, ar ko paredz kopīgus noteikumus par Eiropas Reģionālās attīstības fondu, Eiropas Sociālo fondu Plus, Kohēzijas fondu, Taisnīgas pārkārtošanās fondu un Eiropas Jūrlietu, zvejniecības un akvakultūras fondu un finanšu noteikumus attiecībā uz tiem un uz Patvēruma, migrācijas un integrācijas fondu, Iekšējās drošības fondu un Finansiāla atbalsta instrumentu robežu pārvaldībai un vīzu politikai (turpmāk  - regula Nr. 2021/1060) 64. panta 1. punkta “c” apakšpunktā ietvertajiem nosacījumiem.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gadījumos, kad projekta kopējās attiecināmās izmaksas ir mazākas par 5 milj. EUR un nav iesaistīts valsts atbalsts, ir iespējams piemērot vienkāršoto attiecināmības modeli (proti, PVN līdzekļus uzreiz attiecināt no Eiropas Savienības fondu finansējuma), taču lūdzam anotācijā papildināt ar skaidrojumu, ka attiecīgajai iestādei ir jānodrošina, ka arī projektiem, kuru kopējās izmaksas ir mazākas nekā 5 milj.EUR (ieskaitot PVN) neveidojas dubultā finansējuma risks kontekstā ar PVN attiecināšanu.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salāgot informāciju par PVN attiecināmību ar anotācijā iekļauto informāciju (7.lp.).</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Alise Krisone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 Ja pakalpojuma sniedzējs ir fiziska persona un tā nav reģistrējusies Valsts ieņēmumu dienestā kā pašnodarbināta persona, attiecināmas ir arī darba devēja valsts sociālās apdrošināšanas obligātās iemaksas.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kā tiks atlasīti noteikumu projekta 19.punktā minētie pakalpojuma sniedzēji, kas ir fiziskas personas, kā arī, kādas funkcijas viņam tiks paredzētas.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Inita Petrova (FM) (Gundega Morgana (FM) vietā)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 Sadarbības partnerim izmaksas ir attiecināmas pēc sadarbības līgumu noslēgšanas, bet ne agrāk kā no dienas, kad noslēgta vienošanās par projekta īstenošanu.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iesaistot sadarbības partneri, ir jāievēro MK noteikumos "Kārtība, kādā Eiropas Savienības fondu vadībā iesaistītās institūcijas nodrošina šo fondu ieviešanu 2021.–2027.gada plānošanas periodā" (šobrīd saskaņošanas procesā) noteiktie nosacījumi. Lūdzam noteikumu projektā ietvert skaidru regulējumu, kas paredz šādas vienošanās nosacījumus vai ietvert norādi, ka tā ir noteikta sadarbības līgumā.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Bāliņa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 Finansējuma saņēmējs projektu īsteno saskaņā ar noslēgto vienošanos par projekta īstenošanu, bet ne ilgāk kā līdz 2029. gada 31. decembrim: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noteikumu projekta 24.punkta redakciju un to precizēt, jo apakšpunktos minēti termiņi ir pretrunā ar attiecīgā punkta ievadā minēto. Vēršam uzmanību, ka atbilstoši juridiskās tehnikas prasībām tiesību normai ir jābūt skaidrai, lai tās lietotājs un piemērotājs gūtu nepārprotamu priekšstatu par normā ietvertajiem pienākumiem un tiesībām.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Inita Petrova (FM) (Gundega Morgana (FM) vietā)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 Finansējuma saņēmējs nodrošina, lai pasākuma ietvaros plānotais atbalsts nepārklātos ar citiem valsts un ārvalstu finanšu atbalsta instrumentiem.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redakciju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Finansējuma saņēmējs nodrošina, lai pasākuma ietvaros </w:t>
            </w:r>
            <w:r w:rsidR="00000000" w:rsidRPr="00000000" w:rsidDel="00000000">
              <w:rPr>
                <w:b w:val="1"/>
                <w:rtl w:val="0"/>
              </w:rPr>
              <w:t xml:space="preserve">plānotās izmaksas</w:t>
            </w:r>
            <w:r w:rsidR="00000000" w:rsidRPr="00000000" w:rsidDel="00000000">
              <w:rPr>
                <w:rtl w:val="0"/>
              </w:rPr>
              <w:t xml:space="preserve"> nepārklātos ar citiem valsts un ārvalstu finanšu atbalsta instrumentiem.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Rūdolfs Elksniņš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informāciju par sabiedrības pārstāvju iesaisti normatīvā akta izstrādes procesā. Vienlaikus vēršam uzmanību un ņemt vērā arī Ministru Prezidenta 2021.gada 7.septembra rezolūcijā Nr. 2021-1.1.1./50-50 noteikto: “Izstrādājot specifisko atbalsta mērķu un to pasākumu ieviešanas nosacījumus Eiropas Savienības fondu 2021.—2027.gada plānošanas perioda atbalsta saņemšanai institūcijas atbildībā esošajās jomās, lūdzu jēgpilni iesaistīt attiecīgajā jomā strādājošās biedrības un nodibinājumus. Pēc specifisko atbalsta mērķu un to pasākumu ieviešanas nosacījumu apstiprināšanas Ministru kabinetā, lūdzu sagatavot un sniegt informāciju par sabiedrības pārstāvju iesaisti normatīvā regulējuma izstrādē Nevalstisko organizāciju un Ministru kabineta sadarbības memoranda īstenošanas padomes sekretariātam (uz e-pastu: nvo@mk.gov.lv).”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Bāliņa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informāciju, kuru Iekšlietu ministrijas pārziņā esošā pasākuma kārtu ietvaros plānota elastības finansējuma izmantošana, nodrošinot skaidru informācijas izsekojamību.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Bāliņa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to, ka aktivitātes ietvaros tiek paredzēta publisko līdzekļu piešķiršana, nepārprotamas izpratnes nodrošināšanai lūdzam anotācijā ietvert skaidrojumu, vai aktivitātes ietvaros piešķiramais finansējums ir/nav kvalificējams kā komercdarbības atbalsts. Ja noteikumu projekta virzītājs uzskata, ka aktivitātes ietvaros piešķiramais finansējums nav kvalificējams kā komercdarbības atbalsts, lūdzam to pamatot, piemēram, analizējot, vai piešķiramais finansējums ir tāds, kas izpilda Komisijas paziņojuma par Līguma par Eiropas Savienības darbību 107. panta 1. punktā minēto valsts atbalsta jēdzienu (2016/C 262/01) 17.punktā norādīto, ka Līguma par Eiropas Savienības darbību 107. panta 1. punkts nav piemērojams situācijās, kad valsts rīkojas, “īstenojot valsts varu”, vai kad publiskie subjekti rīkojas “publisko iestāžu statusā”.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 Ķīse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vai precizēt anotācijas 1.3.sadaļas apakšadaļas "Risinājuma apraksts" iepriekšpēdējo teikumu "Prasība balstīta VI izstrādātajās vadlīnijās "Vadlīnijas Ministru kabineta noteikumu par specifiskā atbalsta mērķa īstenošanu izstrādei Eiropas Savienības fondu 2021.—2027. gada plānošanas periodā.". Vēršam uzmanību, ka prasība par interešu konflikta neesamību izriet no Eiropas Parlamenta un Padomes Regulas (ES, Euratom) 2018/1046 (2018. gada 18. jūlijs) par finanšu noteikumiem, ko piemēro Savienības vispārējam budžetam, ar kuru groza Regulas (ES) Nr. 1296/2013, (ES) Nr. 1301/2013, (ES) Nr. 1303/2013, (ES) Nr. 1304/2013, (ES) Nr. 1309/2013, (ES) Nr. 1316/2013, (ES) Nr. 223/2014, (ES) Nr. 283/2014 un Lēmumu Nr. 541/2014/ES un atceļ Regulu (ES, Euratom) Nr. 966/2012 61.panta, kā arī nacionāliem normatīviem aktiem attiecībā uz valsts amatpersonām un iepirkumu jomu regulējošiem aktiem. Tā kā interešu konflikta pārkāpums ir viena no smagākajām neatbilstībām ES fondu izpratnē, tad ir būtiski, ka pats finansējuma saņēmējs jau laicīgi veic visus attiecīgos pasākumus, lai izvairītos no attiecīgā riska. Vadlīnijas Ministru kabineta noteikumu par specifiskā atbalsta mērķa īstenošanu izstrādei Eiropas Savienības fondu 2021.—2027. gada plānošanas periodā ir tikai palīgmehānisms ministrijām, lai tās izstrādājot Ministru kabinet anoteikumus par specifiskā atbalsta mērķa (SAM) īstenošanu, ietvertu būtiskākās lietas, lai nodrošinātu atbilstošu SAM īstenošanu, uzraudzību, izvērtēšanu un revīziju.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Inita Petrova (FM) (Gundega Morgana (FM) vietā)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"...vienotos kritērijus un specifiskos atbilstības kritērijus. To piemērošanas metodiku izstrādā Atbildīgā iestāde sadarbībā ar sadarbības iestādi. Projektu iesniegumu novērtēšanas kritērijus un to piemērošanas metodiku..."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Informējam, ka vienotie kritēriji noteikti atlases metodikā, Atbildīgā iestāde tos neizstrādā. Metodika tiek pieņemta zināšanai un Uzraudzības komiteja apstiprina tikai kritērijus saskaņā ar Eiropas Savienības fondu 2021.—2027. gada plānošanas perioda vadības likuma 20.pantu https://likumi.lv/ta/id/331743#p20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Rūdolfs Elksniņš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visā dokumentā norādīt vienskaitlī vārdu "partneris", jo sadarbības partneris ir viens.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Rūdolfs Elksniņš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Cita informācija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"Ietekmes apraksts</w:t>
            </w:r>
            <w:r w:rsidR="00000000" w:rsidRPr="00000000" w:rsidDel="00000000">
              <w:rPr>
                <w:i w:val="1"/>
                <w:rtl w:val="0"/>
              </w:rPr>
              <w:t xml:space="preserve">Pasākuma pirmās kārtas ietvaros paredzēto IKT projektu īstenošanas rezultātā tiks veicināta VUGD efektivitāte un samazināts administratīvais slogs VUGD pakalpojumu sniegšanai, nodrošinot efektīvu un operatīvu datu apmaiņu specifisko datu bāzu ietvaros, kā arī tiks veicināta informācijas apmaiņa starp VUGD un iedzīvotājiem"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Šeit un rindkopā zemāk uzsvars tikai uz VUGD, lai gan iesniedzējs/FS būs IeMIC. Lūdzam precizēt, norādot ietekmi uz iesniedzēju, vai skaidrot, kādēļ iesniedzējs nav pats VUGD, ja ietekme tomēr tikai uz tā procesiem.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Rūdolfs Elksniņš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Tiesību akta projekta ietekmējamās sabiedrības grupas, ietekme uz tautsaimniecības attīstību un administratīvo slogu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2.sadaļu ar skaidrojumu par ietekmi uz Iekšlietu ministrijas Informācijas centru, kuram ar noteikumu projektu plānots noteikt projekta iesniedzēja un finansējuma saņēmēja funkciju, kā arī Valsts ugunsdzēsības un glābšanas dienestu, kurš savukārt tiks piesaistīts kā sadarbības partneris.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Inita Petrova (FM) (Gundega Morgana (FM) vietā)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Eiropas Savienības kohēzijas politikas programmas 2021.–2027.gadam 2.1.3. specifiskā atbalsta mērķa “Veicināt pielāgošanos klimata pārmaiņām, risku novēršanu un noturību pret katastrofām” 2.1.3.3. pasākuma “Katastrofu risku mazināšanas pasākumi” pirmās projektu iesniegumu atlases kārtas īstenošanas noteikumi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visu nepieciešamo nosacījumu un aspektu iekļaušanu noteikumu projektā, aicinām ņemt vērā Finanšu ministrijas kā ES fondu vadošās iestādes izstrādāto vadlīniju projektā "Vadlīnijas Ministru kabineta noteikumu par specifiskā atbalsta mērķa īstenošanu izstrādei Eiropas Savienības fondu 2021.-2027. gada plānošanas periodā" (turpmāk - vadlīnijas) iekļautās norādes un redakcijas. Lai arī vēl norisinās vadlīniju saskaņošanas process ar atbildīgajām iestādēm, tomēr aicinām pēc iespējas izmantot vadlīnijās ietvertās norādes un redakcijas noteikumu projekta pilnveidošanai.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Bāliņa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Eiropas Savienības kohēzijas politikas programmas 2021.–2027.gadam 2.1.3. specifiskā atbalsta mērķa “Veicināt pielāgošanos klimata pārmaiņām, risku novēršanu un noturību pret katastrofām” 2.1.3.3. pasākuma “Katastrofu risku mazināšanas pasākumi” pirmās projektu iesniegumu atlases kārtas īstenošanas noteikumi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Finanšu ministrijas atzinumā izteiktos iebildumus un priekšlikumus, aicinām Iekšlietu ministriju izvērtēt nepieciešamību, atbilstoši Ministru kabineta 2021.gada 7.septembra noteikumu Nr.606 “Ministru kabineta kārtības rullis” 69.punktā noteiktajam, organizēt starpinstitūciju saskaņošanas sanāksmi, lai nodrošinātu operatīvāku noteikumu projekta saskaņošanu.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Bāliņa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Noteikumi nosaka: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ar apakšpunktiem, aptverot visu MK noteikumu saturu, piemēram, papildināt ar: "1.6. pasākuma pirmās kārtas īstenošanas nosacījumi;"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Rūdolfs Elksniņš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kādā īsteno Eiropas Savienības kohēzijas politikas programmas 2021.–2027.gadam 2.1.Prioritātes “Klimata pārmaiņu mazināšana un pielāgošanās klimata pārmaiņām” 2.1.3. specifiskā atbalsta mērķa “Veicināt pielāgošanos klimata pārmaiņām, risku novēršanu un noturību pret katastrofām” 2.1.3.3. pasākuma “Katastrofu risku mazināšanas pasākumi” pirmās projektu iesniegumu atlases kārtu (turpmāk – pirmā kārta);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redakciju.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Kārtību kādā īsteno Eiropas Savienības kohēzijas politikas programmas 2021.–2027.gadam 2.1.Prioritātes “Klimata pārmaiņu mazināšana un pielāgošanās klimata pārmaiņām” 2.1.3. specifiskā atbalsta mērķa “Veicināt pielāgošanos klimata pārmaiņām, risku novēršanu un noturību pret katastrofām” 2.1.3.3. pasākuma “Katastrofu risku mazināšanas pasākumi” pirmās projektu iesniegumu atlases kārtu (turpmāk – pirmā kārta)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Rūdolfs Elksniņš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prasības Eiropas Reģionālās attīstības fonda projektu iesniedzējam un projekta sadarbības partnerim;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noteikumu projekts paredz arī regulējumu, kas attiecas uz finansējuma saņēmēju, lūdzam papildināt noteikumu projekta 1.4.apakšpunktu ar vārdiem "finansējuma saņēmējam" aiz vārda "iesniedzējam".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Inita Petrova (FM) (Gundega Morgana (FM) vietā)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Pasākuma pirmās kārtas īstenošanu nodrošina Iekšlietu ministrija kā atbildīgā iestāde.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5.punkta redakciju atbilstoši vadlīniju projektā "Vadlīnijas Ministru kabineta noteikumu par specifiskā atbalsta mērķa īstenošanu izstrādei Eiropas Savienības fondu 2021.-2027. gada plānošanas periodā" noteiktajam.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Atbildīgās iestādes funkcijas pasākuma pirmās kārtas ietvaros pilda Iekšlietu ministrija.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Bāliņa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Pasākuma pirmās kārtas ietvaros sasniedzamie politikas mērķu rezultāta un iznākuma rādītāju vērtības: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no 6. punkta un 6. punkta apakšpunktiem dzēst vārdus </w:t>
            </w:r>
            <w:r w:rsidR="00000000" w:rsidRPr="00000000" w:rsidDel="00000000">
              <w:rPr>
                <w:i w:val="1"/>
                <w:rtl w:val="0"/>
              </w:rPr>
              <w:t xml:space="preserve">"politikas mērķu",</w:t>
            </w:r>
            <w:r w:rsidR="00000000" w:rsidRPr="00000000" w:rsidDel="00000000">
              <w:rPr>
                <w:rtl w:val="0"/>
              </w:rPr>
              <w:t xml:space="preserve"> </w:t>
            </w:r>
            <w:r w:rsidR="00000000" w:rsidRPr="00000000" w:rsidDel="00000000">
              <w:rPr>
                <w:i w:val="1"/>
                <w:rtl w:val="0"/>
              </w:rPr>
              <w:t xml:space="preserve">"politikas mērķa"</w:t>
            </w:r>
            <w:r w:rsidR="00000000" w:rsidRPr="00000000" w:rsidDel="00000000">
              <w:rPr>
                <w:rtl w:val="0"/>
              </w:rPr>
              <w:t xml:space="preserve"> un</w:t>
            </w:r>
            <w:r w:rsidR="00000000" w:rsidRPr="00000000" w:rsidDel="00000000">
              <w:rPr>
                <w:i w:val="1"/>
                <w:rtl w:val="0"/>
              </w:rPr>
              <w:t xml:space="preserve"> "mērķa"</w:t>
            </w:r>
            <w:r w:rsidR="00000000" w:rsidRPr="00000000" w:rsidDel="00000000">
              <w:rPr>
                <w:rtl w:val="0"/>
              </w:rPr>
              <w:t xml:space="preserve">. Attiecīgi lūdzam precizēt arī anotāciju.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Viktorija Fomčenkova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 politikas mērķa iznākuma rādītājs, kas jāsasniedz līdz 2024. gada 31. decembrim (starpposma vērtība): investīcijas jaunās vai jauninātās katastrofu monitoringa, gatavības, brīdinājuma un reaģēšanas sistēmās attiecībā uz dabas katastrofām, sasniedz 3 292 660 euro;</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iznākuma rādītājam "investīcijas jaunās vai jauninātās katastrofu monitoringa, gatavības, brīdinājuma un reaģēšanas sistēmās attiecībā uz dabas katastrofām" un tā starpposma vērtībām pasākuma līmenī, summējot visas plānotās kārtas, ir jāatbilst Eiropas Savienības kohēzijas politikas programmā 2021.–2027.gadam (turpmāk - programma) noteiktajam, savukārt Iekšlietu ministrijas sniegtā informācija pie programmas rādītāju saraksta  liecina, ka nesakrīt starpposma vērtība. Aicinām minēto aspektu ņemt vērā, izstrādājot pārējo kāru Ministru kabineta noetikumu projektus, kā arī iesniegt Finanšu ministrijai precizēto programmas rādītāju sarakstu.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Bāliņa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Projektu iesniedzēja un finansējuma saņēmēja funkcijas projektu īstenošanas ietvaros pilda Iekšlietu ministrijas Informācijas centrs.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izteikt noteikumu projekta 8.punktu šādā redakcijā: "8. ABS+ projekta un KaZa projekta iesniedzējsir Iekšlietu ministrijas Informācijas centrs, kas pēc projekta iesnieguma apstiprināšanas ir finansējuma saņēmējs."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ABS+ projekta un KaZa projekta iesniedzējs ir Iekšlietu ministrijas Informācijas centrs, kas pēc projekta iesnieguma apstiprināšanas  ir finansējuma saņēmējs.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Inita Petrova (FM) (Gundega Morgana (FM) vietā)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Finansējuma saņēmējs uzkrāj datus par:</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12. punktu ar apakšpunktiem pārnest uz noteikumu projekta IV sadaļu "Pasākuma pirmās kārtas īstenošanas nosacījumi".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Viktorija Fomčenkova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12.1. projekta ietekmi uz šo noteikumu 6. punktā minētajiem rādītājiem;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skaidrot 12.1. apakšpunktu vai precizēt, ka finansējuma saņēmējs projekta ietvaros uzkrāj datus par faktiski sasniegtiem šo noteikumu 6. punktā minētajiem rādītājiem, nevis par projekta ietekmi uz šiem rādītājiem.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Viktorija Fomčenkova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Pasākuma pirmās kārtas ietvaros ir atbalstāmas šādas darbības: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ar apmācībām, to materiālu izstrādi, kas ir attiecināmajās izmaksās,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Rūdolfs Elksniņš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14.6. projekta vadība;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vai ir nepieciešams precizēt atbalstāmās darbības nosaukumu, ņemot vērā, ka tālāk MK noteikumu projektā minēts projekta vadības un īstenošanas personāls.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Aija Trizna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15.3. projekta vadības un īstenošanas personāla atlīdzības izmaksas, kas ietver projekta vadībā un īstenošanā iesaistīto ekspertu atalgojuma izmaksas atbilstoši Valsts un pašvaldību institūciju amatpersonu un darbinieku atlīdzības likuma nosacījumiem un radušās, pamatojoties uz darba līgumu, vienošanos vai rīkojumu par papildu pienākumu veikšanu projekta īstenošanas laikā, uz uzņēmuma līguma pamata, vai uz pakalpojumu līguma pamata;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nepieciešamību tādu izmaksu attiecināmībai, kas minētas vadlīniju Nr.1.2. 39.punktā, nepieciešamības gadījumā papildinot attiecīgo MK noteikumu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Guna Legzdiņa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Pasākuma pirmās kārtas ietvaros atbalstāmās darbības, kas minētas šo noteikumu 13. punktā un vienlaikus sekmē šo noteikumu 2. punktā minēto mērķu sasniegšanu. Šo noteikumu 13. punktā minētās darbības tiek veiktas, piemērojot Publisko iepirkumu likumu, ciktāl attiecīgās darbības neveic pasākuma pirmās kārtas īstenošanā iesaistīto institūciju personāls. Atbalstāma ir vides prasību integrācija preču un pakalpojumu iepirkumos (zaļais publiskais iepirkums).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noteikumu projekta 13.punktā nav minētas atbalstāmās darbības, lūdzam pārskatīt šī punkta redakciju un precizēt to, nodrošinot korektu atsauci uz attiecīgo noteikumu projekta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 Ķīse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Pasākuma pirmās kārtas ietvaros atbalstāmās darbības, kas minētas šo noteikumu 13. punktā un vienlaikus sekmē šo noteikumu 2. punktā minēto mērķu sasniegšanu. Šo noteikumu 13. punktā minētās darbības tiek veiktas, piemērojot Publisko iepirkumu likumu, ciktāl attiecīgās darbības neveic pasākuma pirmās kārtas īstenošanā iesaistīto institūciju personāls. Atbalstāma ir vides prasību integrācija preču un pakalpojumu iepirkumos (zaļais publiskais iepirkums).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noteikumu projekta 16.punkta pirmo teikumu un to svītro vai precizēt, jo tam nav juridiskā sloga.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Inita Petrova (FM) (Gundega Morgana (FM) vietā)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Finansējuma saņēmējs ir atbildīgs par sadarbības partnera pienākumu izpildi projekta īstenošanā un sadarbības partnera īstenotajām funkcijām projektā, tai skaitā novēršot dubultā finansējuma risku un nodrošinot nepārklāšanos ar citiem līdzīgiem vai saistītiem projektiem.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noteikumu projekta 21.punktā noteikto, nepieciešamības gadījumā šo nosacījumu pārceļot uz anotāciju. Vēršam uzmanību, ka noteikumu projekta 21.punktā minētais nosacījums dublē MK noteikumos "Kārtība, kādā Eiropas Savienības fondu vadībā iesaistītās institūcijas nodrošina šo fondu ieviešanu 2021.–2027.gada plānošanas periodā" (šobrīd saskaņošanas procesā) noteikto.</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Bāliņa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 Finansējuma saņēmējs projektu īsteno saskaņā ar noslēgto vienošanos par projekta īstenošanu, bet ne ilgāk kā līdz 2029. gada 31. decembrim: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noteikumu projekta 24.punktā noteiktā īstenošanas termiņa nepieciešamību, ņemot vērā, ka katram projektam ir noteikts atsevišķs īstenošanas termiņš. Vienlaikus lūdzam projekta īstenošanas termiņu skatīt kontekstā ar iznākuma rādītāja sasniedzamajām starpposma vērtībām uz 2024. gada 31. decembri.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Bāliņa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 Īstenojot projektus, finansējuma saņēmējs nodrošina informācijas un publicitātes pasākumus saskaņā ar regulas Nr. 2021/1060 47. un 50. pantu un normatīvajiem aktiem par kārtību, kādā Eiropas Savienības fondu vadībā iesaistītās institūcijas nodrošina šo fondu ieviešanu 2021.–2027. gada plānošanas periodā.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projekta 26.punktu vai anotāciju ar skaidrojumu, ka tiks ievērotas arī Eiropas Savienības fondu 2021.–2027. gada plānošanas perioda un Atveseļošanas fonda komunikācijas un dizaina vadlīnijās noteiktās prasības.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Inita Petrova (FM) (Gundega Morgana (FM) vietā)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 Finansējuma saņēmējs savā tīmekļvietnē ievieto aktuālo informāciju par projektu īstenošanu.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27.punkta nepieciešamību, lai nedublētu nosacījumus ar 26.punktā minēto.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Guna Legzdiņa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 Informācijas sistēmas izstrādātājs saņem no finansējuma saņēmēja noslēguma maksājumu, kas nevar būt mazāks par 20 procentiem no informācijas sistēmas izstrādes līgumcenas, tikai pēc tam, kad ir parakstīts nodošanas un pieņemšanas akts par informācijas sistēmas izstrādi un ieviešanu un finansējuma saņēmējs ir pārliecinājies, ka izstrādātā informācijas sistēma vai elektroniskais pakalpojums atbilst iepirkuma līgumā ietvertajiem uzdevumiem.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29.punktā minētos vārdus "noslēguma maksājuma" aizstājot tos ar vārdiem, piemēram, "gala maksājumu" vai "beidzamo maksājumu". Vēršam uzmanību, ka saskaņā ar Eiropas Savienības fondu regulējušiem aktiem, terminu ""noslēguma maksājums", lieto par maksājumiem ko veic sadarbības iestāde finansējuma saņēmējam, attiecīgi var rasties interpretācijas iespējas.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Inita Petrova (FM) (Gundega Morgana (FM) vietā)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 Informācijas sistēmas izstrādātājs saņem no finansējuma saņēmēja noslēguma maksājumu, kas nevar būt mazāks par 20 procentiem no informācijas sistēmas izstrādes līgumcenas, tikai pēc tam, kad ir parakstīts nodošanas un pieņemšanas akts par informācijas sistēmas izstrādi un ieviešanu un finansējuma saņēmējs ir pārliecinājies, ka izstrādātā informācijas sistēma vai elektroniskais pakalpojums atbilst iepirkuma līgumā ietvertajiem uzdevumiem.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vai 29.punktā minētā samaksas kārtība nebūtu attiecināma arī uz informācijas sistēmas projektēšanas, izstrādes vai iegādes </w:t>
            </w:r>
            <w:r w:rsidR="00000000" w:rsidRPr="00000000" w:rsidDel="00000000">
              <w:rPr>
                <w:u w:val="single"/>
                <w:rtl w:val="0"/>
              </w:rPr>
              <w:t xml:space="preserve">iepirkuma tehniskās specifikācijas izstrādātāju.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Guna Legzdiņa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 Finansējuma saņēmējam ir pienākums izstrādāt nosacījumus, kas paredz kārtību, kādā tiks nodrošināta interešu konflikta neesamība, identificēti apstākļi, kuri izraisa vai var izraisīt interešu konfliktu, kas rada apdraudējumu vai kaitējumu projektu īstenošanai, noteikti veicamie pasākumi un izstrādāti darbības plāni interešu konflikta preventīvai novēršanai un gadījumiem, kad interešu konflikts ir atklāts.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redakciju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Finansējuma saņēmējam ir pienākums izstrādāt kārtību, kādā tiks nodrošināta interešu konflikta neesamība, identificēti apstākļi, kuri izraisa vai var izraisīt interešu konfliktu, kas rada apdraudējumu vai kaitējumu projektu īstenošanai, noteikti veicamie pasākumi un izstrādāti darbības plāni interešu konflikta preventīvai novēršanai un gadījumiem, kad interešu konflikts ir atklāts.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Rūdolfs Elksniņš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 Finansējuma saņēmējs paraksta interešu konflikta neesamības apliecinājumu.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vai šis nosacījums būtu attiecināms arī uz sadarbības partneri.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Viktorija Fomčenkova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 Saskaņā ar principa "Nenodarīt būtisku kaitējumu" novērtējumu, projektiem ir paredzama nenozīmīga ietekme uz vides mērķiem.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principa “Nenodarīt būtisku kaitējumu” (turpmāk -  DNSH) novērtējumu un tajā ietvertos nosacījumus, vai attiecībā uz pirmās kārtas ietvaros īstenotajiem projektiem šie nosacījumi ir attiecināmi. Nepieciešamības gadījumā aicinām iesūtīt precizēto DNSH novērtējumu.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Bāliņa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anotāciju un lietot korektu saīsinājumu “2.1.3.SAM”.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Bāliņa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Kontekstā ar MK noteikumu 30.punktu "Finansējuma saņēmējs nodrošina, ka pirmās kārtas īstenošanas pabeigšanas brīdī pirmās kārtas ietvaros izveidotā vai attīstītā informācijas sistēma vai izveidotais vai pilnveidotais elektroniskais pakalpojums ir ieviests produktīvajā darbībā atbilstoši apstiprinātajam projekta iesniegumam.", lai neradītu iespēju interpretācijai, aicinām papildināt anotāciju ar “ieviests produktīvajā darbībā” skaidrojumu. Piemēram, ir izstrādāta pilna funkcionalitāte visa projekta mērķa tvērumā, sistēmu reālā tās darbības sfēras vidē visa projekta mērķa tvērumā izmanto reāli lietotāji, darbinot to reālu biznesa procesu ietvaros, kā arī sistēmā notiek reālu datu uzkrāšanas procesi, vai tml.</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Guna Legzdiņa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1.3. sadaļu, skaidrojot terminu </w:t>
            </w:r>
            <w:r w:rsidR="00000000" w:rsidRPr="00000000" w:rsidDel="00000000">
              <w:rPr>
                <w:i w:val="1"/>
                <w:rtl w:val="0"/>
              </w:rPr>
              <w:t xml:space="preserve">"informācijas sistēmas izstrādātājs".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Viktorija Fomčenkova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1.3. sadaļas teikumu: "Pasākuma pirmās kārtas politikas mērķu rezultāta un iznākuma rādītāju vērtības noteiktas atbilstoši Eiropas Savienības kohēzijas politikas programmā 2021.–2027.gadam iekļautajiem rādītājiem, kā arī tika ņemta vērā pētījumos par ABS+ projekta un KaZa projekta ieviešanu iekļautā informācija." un precizēt to šādā redakcijā: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Pasākuma pirmās kārtas rezultāta un iznākuma rādītāju sasniedzamās vērtības noteiktas atbilstoši Eiropas Savienības kohēzijas politikas programmā 2021.–2027.gadam iekļautajiem rādītājiem, kā arī tika ņemta vērā pētījumos par ABS+ projekta un KaZa projekta ieviešanu iekļautā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Viktorija Fomčenkova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dzēst no anotācijas 1.3. sadaļas teikumu: </w:t>
            </w:r>
            <w:r w:rsidR="00000000" w:rsidRPr="00000000" w:rsidDel="00000000">
              <w:rPr>
                <w:i w:val="1"/>
                <w:rtl w:val="0"/>
              </w:rPr>
              <w:t xml:space="preserve">"Projektu iesniegumu iesniegšanai tiek izmantota Kohēzijas politikas vadības informācijas sistēma."</w:t>
            </w:r>
            <w:r w:rsidR="00000000" w:rsidRPr="00000000" w:rsidDel="00000000">
              <w:rPr>
                <w:rtl w:val="0"/>
              </w:rPr>
              <w:t xml:space="preserve"> un "</w:t>
            </w:r>
            <w:r w:rsidR="00000000" w:rsidRPr="00000000" w:rsidDel="00000000">
              <w:rPr>
                <w:i w:val="1"/>
                <w:rtl w:val="0"/>
              </w:rPr>
              <w:t xml:space="preserve">Vadošās iestādes funkcijas pilda Finanšu ministrija. Sadarbības iestādes funkcijas pilda Centrālā līgumu un finanšu aģentūra."</w:t>
            </w:r>
            <w:r w:rsidR="00000000" w:rsidRPr="00000000" w:rsidDel="00000000">
              <w:rPr>
                <w:rtl w:val="0"/>
              </w:rPr>
              <w:t xml:space="preserve">, jo tas ir jau noteikts Eiropas Savienības fondu 2021.—2027. gada plānošanas perioda vadības likumā un nav nepieciešams dublēt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Viktorija Fomčenkova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3.sadaļā "Cita informācija" norādīt, ka projektiem nepieciešamo finansējumu ir paredzēts pieprasīt no 74. resora “Gadskārtējā valsts budžeta izpildes procesā pārdalāmais finansējums” programmas 80.00.00 “Nesadalītais finansējums Eiropas Savienības politiku instrumentu un pārējās ārvalstu finanšu palīdzības līdzfinansēto projektu un pasākumu īstenošanai”.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Briede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3. sadaļas 6. punktu papildināt ar informāciju, tajā norādot 2.1.3. specifiskā atbalsta mērķa “Veicināt pielāgošanos klimata pārmaiņām, risku novēršanu un noturību pret katastrofām” 2.1.3.3. pasākuma “Katastrofu risku mazināšanas pasākumi” pirmās projektu iesniegumu atlases kārtas katram projektam kopējo pieejamo finansējumu atbilstoši noteikumu 7. punktā norādītajam un tā sadalījumu pa gadiem.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Briede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7.1. Projekta izpildē iesaistītās institūcijas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izkļaut CFLA, ņemot vērā, ka CFLA nav iesaistītā institūcija projekta izpildē.</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Guna Legzdiņa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Horizontālās ietekmes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šajā sadaļā iekļaut detalizētāku informāciju par pasākuma 1. kārtas ietekmi uz horizontālajiem principiem, ņemot vērā anotācijas 1.3. sadaļā minēto: </w:t>
            </w:r>
            <w:r w:rsidR="00000000" w:rsidRPr="00000000" w:rsidDel="00000000">
              <w:rPr>
                <w:i w:val="1"/>
                <w:rtl w:val="0"/>
              </w:rPr>
              <w:t xml:space="preserve">"Saskaņā ar principa "Nonodarīt būtisku kaitējumu" novērtēšanu, projektiem ir nenozīmīga ietekme uz vides mērķiem. To īstenošana neradīs ievērojamu nepieciešamo resursu izmantošanas neefektivitāti un nepalielinās atkritumu rašanos. Īstenojamie pasākumi neizraisīs negatīvu ietekmi uz pašreizējā klimata un gaidāmā nākotnes klimata radītajām negatīvajām ietekmēm uz pašu pasākumu, cilvēkiem, dabu vai aktīviem, kā arī neradīs negatīvu ietekmi uz pielāgošanās klimata pārmaiņām mērķu sasniegšanu. Paredzams, ka pasākums nekaitēs, bet tieši veicinās pielāgošanās klimata pārmaiņām, jo tiks veidotas mūsdienu prasībām atbilstoši IKT risinājumi.".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Viktorija Fomčenkova (CFLA)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23-TA-263</w:t>
    </w:r>
    <w:r>
      <w:br/>
    </w:r>
    <w:r w:rsidR="00000000" w:rsidRPr="00000000" w:rsidDel="00000000">
      <w:rPr>
        <w:rtl w:val="0"/>
      </w:rPr>
      <w:t xml:space="preserve">Izdrukāts 04.04.2023. 18.54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23-TA-263</w:t>
    </w:r>
    <w:r>
      <w:br/>
    </w:r>
    <w:r w:rsidR="00000000" w:rsidRPr="00000000" w:rsidDel="00000000">
      <w:rPr>
        <w:rtl w:val="0"/>
      </w:rPr>
      <w:t xml:space="preserve">Izdrukāts 04.04.2023. 18.54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Atzinumi_23-TA-263.docx</dc:title>
</cp:coreProperties>
</file>

<file path=docProps/custom.xml><?xml version="1.0" encoding="utf-8"?>
<Properties xmlns="http://schemas.openxmlformats.org/officeDocument/2006/custom-properties" xmlns:vt="http://schemas.openxmlformats.org/officeDocument/2006/docPropsVTypes"/>
</file>