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25-TA-1187: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Izdarīt Ministru kabineta 2021. gada 19. oktobra noteikumos Nr. 693</w:t>
            </w:r>
            <w:r w:rsidR="00000000" w:rsidRPr="00000000" w:rsidDel="00000000">
              <w:rPr>
                <w:i w:val="1"/>
                <w:rtl w:val="0"/>
              </w:rPr>
              <w:t xml:space="preserve"> "Būvju vispārīgo prasību būvnormatīvs LBN 200-21" </w:t>
            </w:r>
            <w:r w:rsidR="00000000" w:rsidRPr="00000000" w:rsidDel="00000000">
              <w:rPr>
                <w:rtl w:val="0"/>
              </w:rPr>
              <w:t xml:space="preserve">(Latvijas Vēstnesis, 2021, 204. nr.; 2023, 153. nr.) šādus grozījumus: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nepārprotamu jauno normu piemērošanu un neradītu dažādas interpretācijas iespējas, ierosinām papildināt normatīva akta anotāciju ar skaidrojumu un/vai pārskatīt sekojošos punktos ietverto formulējumu: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- 3.43. apakšpunktā lietotajam jēdzienam “būtiskie ēkas elementi”;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- 3.45. un 3.46. apakšpunktā lietoto terminu "autostāvvieta", ņemot vērā, ka iekštelpā esoša autonovietne atbilstoši “Būvju klasifikācijas noteikumiem” ir garāža;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-130. </w:t>
            </w:r>
            <w:r w:rsidR="00000000" w:rsidRPr="00000000" w:rsidDel="00000000">
              <w:rPr>
                <w:i w:val="1"/>
                <w:rtl w:val="0"/>
              </w:rPr>
              <w:t xml:space="preserve">6 prim </w:t>
            </w:r>
            <w:r w:rsidR="00000000" w:rsidRPr="00000000" w:rsidDel="00000000">
              <w:rPr>
                <w:rtl w:val="0"/>
              </w:rPr>
              <w:t xml:space="preserve">3. apakšpunktā lietoto tekstu “no kopējās lietotāju kapacitātes”, norādot metodiku, pēc kuras kā var noteikt objekta lietotāju kapacitāti;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- 130. </w:t>
            </w:r>
            <w:r w:rsidR="00000000" w:rsidRPr="00000000" w:rsidDel="00000000">
              <w:rPr>
                <w:i w:val="1"/>
                <w:rtl w:val="0"/>
              </w:rPr>
              <w:t xml:space="preserve">7 prim</w:t>
            </w:r>
            <w:r w:rsidR="00000000" w:rsidRPr="00000000" w:rsidDel="00000000">
              <w:rPr>
                <w:rtl w:val="0"/>
              </w:rPr>
              <w:t xml:space="preserve"> 3. apakšpunktā  “katrai dzīvojamās ēkas vienībai” kopsakarībā ar jau esošo dzīvokļa definīciju;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- 130. </w:t>
            </w:r>
            <w:r w:rsidR="00000000" w:rsidRPr="00000000" w:rsidDel="00000000">
              <w:rPr>
                <w:i w:val="1"/>
                <w:rtl w:val="0"/>
              </w:rPr>
              <w:t xml:space="preserve">15 prim</w:t>
            </w:r>
            <w:r w:rsidR="00000000" w:rsidRPr="00000000" w:rsidDel="00000000">
              <w:rPr>
                <w:rtl w:val="0"/>
              </w:rPr>
              <w:t xml:space="preserve"> apakšpunktā lietoto tekstu “paredz pēc iespējas vairāk” , sniedzot skaidrus izpildes kritērijus;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 6.1., 130.</w:t>
            </w:r>
            <w:r w:rsidR="00000000" w:rsidRPr="00000000" w:rsidDel="00000000">
              <w:rPr>
                <w:i w:val="1"/>
                <w:rtl w:val="0"/>
              </w:rPr>
              <w:t xml:space="preserve"> 4 prim</w:t>
            </w:r>
            <w:r w:rsidR="00000000" w:rsidRPr="00000000" w:rsidDel="00000000">
              <w:rPr>
                <w:rtl w:val="0"/>
              </w:rPr>
              <w:t xml:space="preserve">, 130. </w:t>
            </w:r>
            <w:r w:rsidR="00000000" w:rsidRPr="00000000" w:rsidDel="00000000">
              <w:rPr>
                <w:i w:val="1"/>
                <w:rtl w:val="0"/>
              </w:rPr>
              <w:t xml:space="preserve">5 prim</w:t>
            </w:r>
            <w:r w:rsidR="00000000" w:rsidRPr="00000000" w:rsidDel="00000000">
              <w:rPr>
                <w:rtl w:val="0"/>
              </w:rPr>
              <w:t xml:space="preserve"> , 130. </w:t>
            </w:r>
            <w:r w:rsidR="00000000" w:rsidRPr="00000000" w:rsidDel="00000000">
              <w:rPr>
                <w:i w:val="1"/>
                <w:rtl w:val="0"/>
              </w:rPr>
              <w:t xml:space="preserve">16 prim</w:t>
            </w:r>
            <w:r w:rsidR="00000000" w:rsidRPr="00000000" w:rsidDel="00000000">
              <w:rPr>
                <w:rtl w:val="0"/>
              </w:rPr>
              <w:t xml:space="preserve">, 130. </w:t>
            </w:r>
            <w:r w:rsidR="00000000" w:rsidRPr="00000000" w:rsidDel="00000000">
              <w:rPr>
                <w:i w:val="1"/>
                <w:rtl w:val="0"/>
              </w:rPr>
              <w:t xml:space="preserve">17 prim</w:t>
            </w:r>
            <w:r w:rsidR="00000000" w:rsidRPr="00000000" w:rsidDel="00000000">
              <w:rPr>
                <w:rtl w:val="0"/>
              </w:rPr>
              <w:t xml:space="preserve"> , 130 </w:t>
            </w:r>
            <w:r w:rsidR="00000000" w:rsidRPr="00000000" w:rsidDel="00000000">
              <w:rPr>
                <w:i w:val="1"/>
                <w:rtl w:val="0"/>
              </w:rPr>
              <w:t xml:space="preserve">18 prim</w:t>
            </w:r>
            <w:r w:rsidR="00000000" w:rsidRPr="00000000" w:rsidDel="00000000">
              <w:rPr>
                <w:rtl w:val="0"/>
              </w:rPr>
              <w:t xml:space="preserve"> apakšpunktā  lietoto  piebildi “ciktāl tas ir tehniski, funkcionāli un ekonomiski iespējams”.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Savukārt noteikumu projekta  6.2  punkta tekstu “proti, ar attiecīgu konstrukciju nestspēju, piemērotu jumta slīpumu un orientāciju” un   130. </w:t>
            </w:r>
            <w:r w:rsidR="00000000" w:rsidRPr="00000000" w:rsidDel="00000000">
              <w:rPr>
                <w:i w:val="1"/>
                <w:rtl w:val="0"/>
              </w:rPr>
              <w:t xml:space="preserve">17 prim</w:t>
            </w:r>
            <w:r w:rsidR="00000000" w:rsidRPr="00000000" w:rsidDel="00000000">
              <w:rPr>
                <w:rtl w:val="0"/>
              </w:rPr>
              <w:t xml:space="preserve"> punkta tekstu “piemēram, nelielu vēja elektrostaciju ierīkošanu, un tādu paredz”, norādot konkrētus parametrus (augstumu, jaudu), ierosinām pārcelt uz anotāciju.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Šavraka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25-TA-1187</w:t>
    </w:r>
    <w:r>
      <w:br/>
    </w:r>
    <w:r w:rsidR="00000000" w:rsidRPr="00000000" w:rsidDel="00000000">
      <w:rPr>
        <w:rtl w:val="0"/>
      </w:rPr>
      <w:t xml:space="preserve">Izdrukāts 17.02.2026.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25-TA-1187</w:t>
    </w:r>
    <w:r>
      <w:br/>
    </w:r>
    <w:r w:rsidR="00000000" w:rsidRPr="00000000" w:rsidDel="00000000">
      <w:rPr>
        <w:rtl w:val="0"/>
      </w:rPr>
      <w:t xml:space="preserve">Izdrukāts 17.02.2026.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