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kabinetam tiek piedāvāts skatīt Izglītības un zinātnes ministrijas sagatavotu prezentāciju par priekšlikumiem vispārējās izglītības satura pilnveidei. Vienlaikus prezentācijai nav pievienots informatīvais ziņojums, kurā būtu iekļauta izvērsta analīze par esošo situāciju, argumentēti pamatotas nepieciešamās izmaiņas, kā arī veikti aprēķini par piedāvāto risinājumu ietekmi uz valsts budžeta izdevumiem, tostarp norādot finansējuma avotu Izglītības un zinātnes ministrijas esošo valsts budžeta līdzekļu ietvaros, no kura attiecīgie izdevumi tiks segti. Ņemot vērā minēto, Ministru kabineta sēdē virzāmie dokumenti ir būtiski pilnveidojami.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veikt aprēķinus nepieciešamā papildu valsts budžeta finansējuma apmēram mācību līdzekļu kvalitatīvai nodrošināšanai un aprēķinus iesniegt Finanšu ministrijā kārtējā gada un vidējā termiņa valsts budžeta izstrādes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(prezentācija) nesatur informāciju par piedāvāto risinājumu ietekmi uz valsts budžeta izdevumiem un finansējuma avotiem, no kuriem attiecīgie izdevumi tiks segti, </w:t>
            </w:r>
            <w:r w:rsidR="00000000" w:rsidRPr="00000000" w:rsidDel="00000000">
              <w:rPr>
                <w:b w:val="1"/>
                <w:rtl w:val="0"/>
              </w:rPr>
              <w:t xml:space="preserve">nav atbalstāma tāda dokumenta tālāka virzība, kas uzliek saistības valsts budžetam neprognozējamā apmērā bez finansiālā seguma.</w:t>
            </w:r>
            <w:r w:rsidR="00000000" w:rsidRPr="00000000" w:rsidDel="00000000">
              <w:rPr>
                <w:rtl w:val="0"/>
              </w:rPr>
              <w:t xml:space="preserve"> Norādām, ka atbilstoši aktuālajām prognozēm fiskālā telpa turpmākajos gados ir negatīva (2027. gadā -28,0 milj. euro, 2028. gadā -279,1 milj. euro, 2029. gadā -237,8 milj. euro un 2030. gadā -936,2 milj. euro) un līdz ar to papildu finansējums turpmākajiem gadiem bez kompensējošiem pasākumiem, 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