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18.</w:t>
            </w:r>
            <w:r w:rsidR="00000000" w:rsidRPr="00000000" w:rsidDel="00000000">
              <w:rPr>
                <w:vertAlign w:val="superscript"/>
                <w:rtl w:val="0"/>
              </w:rPr>
              <w:t xml:space="preserve">2</w:t>
            </w:r>
            <w:r w:rsidR="00000000" w:rsidRPr="00000000" w:rsidDel="00000000">
              <w:rPr>
                <w:rtl w:val="0"/>
              </w:rPr>
              <w:t xml:space="preserve"> punktā noteiktajam, administratīvo izmaksu un atbilstības izmaksu aprēķina rezultāts gan izmaksu pieauguma, gan samazinājuma gadījumos ir iekļaujams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7. sadaļas 7.4. apakšpunktā ietverto informāciju par administratīvā un finanšu sloga mazināšanu uzņēmējiem, lūdzam veikt aprakstīto izmaiņu administratīvo izmaksu samazinājuma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aprēķini un to rezultāti iekļaujami - fiziskām un juridiskām personām anotācijas 2. sadaļas 2.3. apakšpunktā, savukārt valsts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 punkts paredz izmaiņas Ministru kabineta 2013. gada 30. aprīļa noteikumu Nr. 240 "Vispārīgie teritorijas plānošanas, izmantošanas un apbūves noteikumi" 186. punktā. Līdzšinējā redakcijā ir noteikta prasība nodrošināt drošas margas vai aizsargbarjeras ne mazāk kā 0,90 m augstumā, vietās, kur dabas takai ir bīstams slīpums, krauja vai nogāze vai tā tieši ved uz ūdensobjektu vai stāvu krauju.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izmaiņām prasība par drošām margām ir divos augstumos - 0,7 m un 1,1 m vai nodrošināt aizsargbarjeras 1,1 m augstumā.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jānodrošina atbilstība, līdz ar kuru pieaugs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 punktā ir iekļauts tiesību akta vērtējumu uzskaitījums, kur 9.7. apakšpunkts paredz atbilstības izmaksu vērtējuma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kā arī noteikumu Nr. 617 18., 18.</w:t>
            </w:r>
            <w:r w:rsidR="00000000" w:rsidRPr="00000000" w:rsidDel="00000000">
              <w:rPr>
                <w:vertAlign w:val="superscript"/>
                <w:rtl w:val="0"/>
              </w:rPr>
              <w:t xml:space="preserve">1 </w:t>
            </w:r>
            <w:r w:rsidR="00000000" w:rsidRPr="00000000" w:rsidDel="00000000">
              <w:rPr>
                <w:rtl w:val="0"/>
              </w:rPr>
              <w:t xml:space="preserve">un 18.</w:t>
            </w:r>
            <w:r w:rsidR="00000000" w:rsidRPr="00000000" w:rsidDel="00000000">
              <w:rPr>
                <w:vertAlign w:val="superscript"/>
                <w:rtl w:val="0"/>
              </w:rPr>
              <w:t xml:space="preserve">2</w:t>
            </w:r>
            <w:r w:rsidR="00000000" w:rsidRPr="00000000" w:rsidDel="00000000">
              <w:rPr>
                <w:rtl w:val="0"/>
              </w:rPr>
              <w:t xml:space="preserve"> punktu, lūdzam veikt atbilstības izmaksu aprēķinu un rezultātu iekļaut - fiziskām un juridiskām personām anotācijas 2. sadaļas 2.4. apakšpunktā, savukārt valsts institūcijām anotācijas 7. sadaļas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atbilstības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projekta anotācijas 2. sadaļā ietvertie ietekmes apraksti nesniedz priekšstatu  par to, kas tieši 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noteikumu projekta anotācijas 2.2.1. uz makroekonomisko vidi, saskaņā ar vadlīnijās "Vadlīnijas tiesību akta sākotnējās ietekmes novērtēšanai un novērtējuma ziņojuma sagatavošanai vienotajā TAP portālā" (turpmāk - Vadlīnijas) noteikto, ietekmi uz makroekonomisko vidi vērtē tikai tad, ja pasākuma ieviešanai ir nozīmīga ietekme uz ekonomisko situāciju valstī kopumā. Tātad nav nepieciešams mēģināt rakstīt par ietekmi uz makroekonomisko vidi, ja problēmai nemaz nav šāda mēroga.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aprakstus ņemot vērā Vadlīnijās sniegtos ieteikumus ietekmes apraksta veidošanā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satur metodoloģiskos ieteikumus, piemērus un arī norādes ietekmes novērtējuma ziņojuma noformēšanai TAP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01.08.2024.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01.08.2024.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