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10</w:t>
            </w:r>
            <w:r w:rsidR="00000000" w:rsidRPr="00000000" w:rsidDel="00000000">
              <w:rPr>
                <w:rtl w:val="0"/>
              </w:rPr>
              <w:t xml:space="preserve"> Tirgotāji šo noteikumu </w:t>
            </w:r>
            <w:r w:rsidR="00000000" w:rsidRPr="00000000" w:rsidDel="00000000">
              <w:rPr>
                <w:rtl w:val="0"/>
              </w:rPr>
              <w:t xml:space="preserve">2.30. </w:t>
            </w:r>
            <w:r w:rsidR="00000000" w:rsidRPr="00000000" w:rsidDel="00000000">
              <w:rPr>
                <w:rtl w:val="0"/>
              </w:rPr>
              <w:t xml:space="preserve">apakšpunktā</w:t>
            </w:r>
            <w:r w:rsidR="00000000" w:rsidRPr="00000000" w:rsidDel="00000000">
              <w:rPr>
                <w:rtl w:val="0"/>
              </w:rPr>
              <w:t xml:space="preserve"> minēto tirdzniecības intervālu attiecina arī uz jau noslēgtajiem elektroenerģijas tirdzniecības līgumiem, sākot no nākamā pilnā norēķinu perioda pēc norēķinu perioda, kurā veikta tirdzniecības intervāla maiņa.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“Grozījumi Ministru kabineta 2023. gada 7. novembra noteikumos Nr.635 “Elektroenerģijas tirdzniecības un lietošanas noteikumi”” (turpmāk – projekts) un par to izsakām šādu iebildumu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punktā paredzēto grozījumu Ministru kabineta 2023. gada 7. novembra noteikumu Nr.635 “Elektroenerģijas tirdzniecības un lietošanas noteikumi” (turpmāk – noteikumi) 173.</w:t>
            </w:r>
            <w:r w:rsidR="00000000" w:rsidRPr="00000000" w:rsidDel="00000000">
              <w:rPr>
                <w:vertAlign w:val="superscript"/>
                <w:rtl w:val="0"/>
              </w:rPr>
              <w:t xml:space="preserve">10</w:t>
            </w:r>
            <w:r w:rsidR="00000000" w:rsidRPr="00000000" w:rsidDel="00000000">
              <w:rPr>
                <w:rtl w:val="0"/>
              </w:rPr>
              <w:t xml:space="preserve"> punktā un projekta 27. punktā paredzēto grozījumu noteikumu 173.</w:t>
            </w:r>
            <w:r w:rsidR="00000000" w:rsidRPr="00000000" w:rsidDel="00000000">
              <w:rPr>
                <w:vertAlign w:val="superscript"/>
                <w:rtl w:val="0"/>
              </w:rPr>
              <w:t xml:space="preserve">11</w:t>
            </w:r>
            <w:r w:rsidR="00000000" w:rsidRPr="00000000" w:rsidDel="00000000">
              <w:rPr>
                <w:rtl w:val="0"/>
              </w:rPr>
              <w:t xml:space="preserve"> punktā nepieciešams izvērtēt un precizēt, proti, grozījumus noteikumu 173.</w:t>
            </w:r>
            <w:r w:rsidR="00000000" w:rsidRPr="00000000" w:rsidDel="00000000">
              <w:rPr>
                <w:vertAlign w:val="superscript"/>
                <w:rtl w:val="0"/>
              </w:rPr>
              <w:t xml:space="preserve">10 </w:t>
            </w:r>
            <w:r w:rsidR="00000000" w:rsidRPr="00000000" w:rsidDel="00000000">
              <w:rPr>
                <w:rtl w:val="0"/>
              </w:rPr>
              <w:t xml:space="preserve">un 173.</w:t>
            </w:r>
            <w:r w:rsidR="00000000" w:rsidRPr="00000000" w:rsidDel="00000000">
              <w:rPr>
                <w:vertAlign w:val="superscript"/>
                <w:rtl w:val="0"/>
              </w:rPr>
              <w:t xml:space="preserve">11</w:t>
            </w:r>
            <w:r w:rsidR="00000000" w:rsidRPr="00000000" w:rsidDel="00000000">
              <w:rPr>
                <w:rtl w:val="0"/>
              </w:rPr>
              <w:t xml:space="preserve"> punktā neveikt, bet saistībā ar projektā paredzēto jauno regulējumu noteikumu nodaļā “Noslēguma jautājumi” veidot jaunus punktus, ja tādi ir nepieciešami. Vēršam uzmanību, ka projektā piedāvātie grozījumi pārejas regulējumā faktiski veido atpakaļejošu spēku projektā paredzētā jaunā regulējuma piemērošanai un tas no tiesību sistēmas viedokļa nav pieļaujams. Papildus norādām, ka noslēguma jautājumos neietver normas, kas darbojas pastāvīgi un Tieslietu ministrijas ieskatā elektroenerģijas uzskaite ar elektroenerģijas komercuzskaites mēraparātiem ir darbība, par ko jābūt pastāvīgam regulējumam, bet ar pārejas regulējumu var noteikt tikai pārejas kārtību no šobrīd pastāvošā tiesiskā regulējuma uz projektā paredzēto jauno tiesisko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papildināt anotācijas 1.3. sadaļu, nodrošinot pilnīgus noteikumu (grozījumu) projekta skaidrojumus. Ir nepieciešams anotācijā ietver skaidrojumu par noteikumu (grozījumu) projekta 117.</w:t>
            </w:r>
            <w:r w:rsidR="00000000" w:rsidRPr="00000000" w:rsidDel="00000000">
              <w:rPr>
                <w:vertAlign w:val="superscript"/>
                <w:rtl w:val="0"/>
              </w:rPr>
              <w:t xml:space="preserve">1</w:t>
            </w:r>
            <w:r w:rsidR="00000000" w:rsidRPr="00000000" w:rsidDel="00000000">
              <w:rPr>
                <w:rtl w:val="0"/>
              </w:rPr>
              <w:t xml:space="preserve"> punktu, norādot pamatojumu šādu grozījumu nepieciešamībai. Papildus norādām, ka atbilstoši izteiktajam priekšlikumam par noteikumu (grozījumu) projekta 117.</w:t>
            </w:r>
            <w:r w:rsidR="00000000" w:rsidRPr="00000000" w:rsidDel="00000000">
              <w:rPr>
                <w:vertAlign w:val="superscript"/>
                <w:rtl w:val="0"/>
              </w:rPr>
              <w:t xml:space="preserve">1</w:t>
            </w:r>
            <w:r w:rsidR="00000000" w:rsidRPr="00000000" w:rsidDel="00000000">
              <w:rPr>
                <w:rtl w:val="0"/>
              </w:rPr>
              <w:t xml:space="preserve"> punktu, anotācijā ir nepieciešams ietvert norādi uz tiesību normā minēto līguma veidu un tā atbilstošajiem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papildināt anotācijas 1.3. sadaļu, nodrošinot pilnīgus noteikumu (grozījumu) projekta skaidrojumus. Ir nepieciešams anotācijā ietver skaidrojumu par noteikumu (grozījumu) projekta 173.</w:t>
            </w:r>
            <w:r w:rsidR="00000000" w:rsidRPr="00000000" w:rsidDel="00000000">
              <w:rPr>
                <w:vertAlign w:val="superscript"/>
                <w:rtl w:val="0"/>
              </w:rPr>
              <w:t xml:space="preserve">11</w:t>
            </w:r>
            <w:r w:rsidR="00000000" w:rsidRPr="00000000" w:rsidDel="00000000">
              <w:rPr>
                <w:rtl w:val="0"/>
              </w:rPr>
              <w:t xml:space="preserve"> punktu, norādot attiecīgo grozījumu mērķi un pamatotību. Ņemot vērā minēto, anotācijā ir nepieciešams paskaidrot, kādēļ jēdziens “uzstādīti” tiek aizstāts ar jēdzienu “pasūtīti”, kā arī norādīt kādēļ laika atsauce “pirms 2019. gada” tiek precizēta, norādot konkrētu datumu – “pirms 2019. gada 4. jūlija”.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papildināt anotācijas 1.3. sadaļu </w:t>
            </w:r>
            <w:r w:rsidR="00000000" w:rsidRPr="00000000" w:rsidDel="00000000">
              <w:rPr>
                <w:b w:val="1"/>
                <w:rtl w:val="0"/>
              </w:rPr>
              <w:t xml:space="preserve">“Kompensācija elektroenerģijas piegādes neplānotu pārtraukumu gadījumā”</w:t>
            </w:r>
            <w:r w:rsidR="00000000" w:rsidRPr="00000000" w:rsidDel="00000000">
              <w:rPr>
                <w:rtl w:val="0"/>
              </w:rPr>
              <w:t xml:space="preserve"> ar informāciju, kas pamato noteikto sistēmas pakalpojuma neplānota pārtraukuma novēršanas ilgumu un lietotājam piemērotās kompensācijas metodiku.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noteikumu (grozījumu) projekta 92. punktam, ja sistēmas pakalpojuma neplānota pārtraukuma novēršanas ilgums sadales sistēmas lietotāja objektā pārsniedz 12 stundas, tad sadales sistēmas operators, kura sadales tīkliem pieslēgti vairāk par simt tūkstošiem lietotāju, lietotājam piemēro kompensāciju. Vienlaikus ar noteikumu (grozījumu) projekta 92.</w:t>
            </w:r>
            <w:r w:rsidR="00000000" w:rsidRPr="00000000" w:rsidDel="00000000">
              <w:rPr>
                <w:vertAlign w:val="superscript"/>
                <w:rtl w:val="0"/>
              </w:rPr>
              <w:t xml:space="preserve">1</w:t>
            </w:r>
            <w:r w:rsidR="00000000" w:rsidRPr="00000000" w:rsidDel="00000000">
              <w:rPr>
                <w:rtl w:val="0"/>
              </w:rPr>
              <w:t xml:space="preserve">.1. un 92.</w:t>
            </w:r>
            <w:r w:rsidR="00000000" w:rsidRPr="00000000" w:rsidDel="00000000">
              <w:rPr>
                <w:vertAlign w:val="superscript"/>
                <w:rtl w:val="0"/>
              </w:rPr>
              <w:t xml:space="preserve">1</w:t>
            </w:r>
            <w:r w:rsidR="00000000" w:rsidRPr="00000000" w:rsidDel="00000000">
              <w:rPr>
                <w:rtl w:val="0"/>
              </w:rPr>
              <w:t xml:space="preserve">.2. apakšpunktiem tiek mainīta arī kompensācijas apmēra noteikšanas metodika, nosakot, ka to veidos divas komponentes. Minētie grozījumi tiek balstīti uz Ministru kabineta 2022. gada 6. septembra sēdē izskatīto Ekonomikas ministrijas informatīvo ziņojumu "Par normatīvā regulējuma priekšlikumiem elektroenerģijas piegādes neplānotu pārtraukumu gadījumā", tādēļ ir nepieciešams anotācijā ietvert informāciju, kas izklāsta attiecīgā informatīvā ziņojuma saturu, kas savukārt pamato minēto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Nr.617 "Tiesību akta projekta sākotnējās ietekmes izvērtēšanas kārtība" 3. punktam anotācijas uzdevums ir informēt lēmuma pieņēmējus un ieinteresētās puses par projekta ietekmi un sekām, ko projekts var radīt uz dažādām darbības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1. sadaļas 1.3. apakšpunktu </w:t>
            </w:r>
            <w:r w:rsidR="00000000" w:rsidRPr="00000000" w:rsidDel="00000000">
              <w:rPr>
                <w:b w:val="1"/>
                <w:rtl w:val="0"/>
              </w:rPr>
              <w:t xml:space="preserve">“Pašreizējā situācija”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Ministru kabineta 2021. gada 7. septembra noteikumu Nr.617 "Tiesību akta projekta sākotnējās ietekmes izvērtēšanas kārtība" 15. punktam, kas noteic, ka visiem projektiem aizpilda šo noteikumu 14.1. apakšpunktā minēto anotācijas sadaļu (projekta izstrādes nepieciešamība), ir nepieciešams ietvert attiecīgo informāciju anotācijas 1.3. apakšpunkta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r w:rsidR="00000000" w:rsidRPr="00000000" w:rsidDel="00000000">
              <w:rPr>
                <w:vertAlign w:val="superscript"/>
                <w:rtl w:val="0"/>
              </w:rPr>
              <w:t xml:space="preserve">1</w:t>
            </w:r>
            <w:r w:rsidR="00000000" w:rsidRPr="00000000" w:rsidDel="00000000">
              <w:rPr>
                <w:rtl w:val="0"/>
              </w:rPr>
              <w:t xml:space="preserve"> Sistēmas operatoram ir tiesības vienpusēji izbeigt sistēmas pakalpojuma līgumu ar tirgotāju, ja tirgotājs sistēmas operatora noteiktajā termiņā nav veicis samaksu par saņemtajiem sistēmas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precizēt noteikumu projekta 117.</w:t>
            </w:r>
            <w:r w:rsidR="00000000" w:rsidRPr="00000000" w:rsidDel="00000000">
              <w:rPr>
                <w:vertAlign w:val="superscript"/>
                <w:rtl w:val="0"/>
              </w:rPr>
              <w:t xml:space="preserve">1</w:t>
            </w:r>
            <w:r w:rsidR="00000000" w:rsidRPr="00000000" w:rsidDel="00000000">
              <w:rPr>
                <w:rtl w:val="0"/>
              </w:rPr>
              <w:t xml:space="preserve"> punktu, norādot atbilstošo līguma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Ministru kabineta 2023. gada 7. novembra noteikumu Nr.635 "Elektroenerģijas tirdzniecības un lietošanas noteikumi" (turpmāk – Noteikumi Nr.635) 2.28. apakšpunktam sistēmas pakalpojumu līguma puses ir sistēmas operators un lietotājs vai ražotājs. Vienlaikus noteikumu (grozījumu) projekta 117.</w:t>
            </w:r>
            <w:r w:rsidR="00000000" w:rsidRPr="00000000" w:rsidDel="00000000">
              <w:rPr>
                <w:vertAlign w:val="superscript"/>
                <w:rtl w:val="0"/>
              </w:rPr>
              <w:t xml:space="preserve">1</w:t>
            </w:r>
            <w:r w:rsidR="00000000" w:rsidRPr="00000000" w:rsidDel="00000000">
              <w:rPr>
                <w:rtl w:val="0"/>
              </w:rPr>
              <w:t xml:space="preserve"> punktā kā sistēmas pakalpojumu līguma puse ir norādīts elektroenerģijas tirgotājs.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Nr.635 regulējumu kopsakarā, secināms, ka jēdzieni “tirgotājs” un “lietotājs” apzīmē atšķirīgus tiesību subjektus un nav savstarpēji aizvietojami, līdz ar to minētais formulējums rada tiesisku neskaidrību attiecībā uz līguma subjektiem. Ir nepieciešams precizēt noteikumu (grozījumu) projekta 117.</w:t>
            </w:r>
            <w:r w:rsidR="00000000" w:rsidRPr="00000000" w:rsidDel="00000000">
              <w:rPr>
                <w:vertAlign w:val="superscript"/>
                <w:rtl w:val="0"/>
              </w:rPr>
              <w:t xml:space="preserve">1</w:t>
            </w:r>
            <w:r w:rsidR="00000000" w:rsidRPr="00000000" w:rsidDel="00000000">
              <w:rPr>
                <w:rtl w:val="0"/>
              </w:rPr>
              <w:t xml:space="preserve"> punktā norādīto līguma veidu, aizvietojot jēdzienu “sistēmas pakalpojumu līgums” uz “sistēmas lietošanas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25-TA-3090</w:t>
    </w:r>
    <w:r>
      <w:br/>
    </w:r>
    <w:r w:rsidR="00000000" w:rsidRPr="00000000" w:rsidDel="00000000">
      <w:rPr>
        <w:rtl w:val="0"/>
      </w:rPr>
      <w:t xml:space="preserve">Izdrukāts 13.02.2026.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25-TA-3090</w:t>
    </w:r>
    <w:r>
      <w:br/>
    </w:r>
    <w:r w:rsidR="00000000" w:rsidRPr="00000000" w:rsidDel="00000000">
      <w:rPr>
        <w:rtl w:val="0"/>
      </w:rPr>
      <w:t xml:space="preserve">Izdrukāts 13.02.2026.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Atzinumi_25-TA-3090.docx</dc:title>
</cp:coreProperties>
</file>

<file path=docProps/custom.xml><?xml version="1.0" encoding="utf-8"?>
<Properties xmlns="http://schemas.openxmlformats.org/officeDocument/2006/custom-properties" xmlns:vt="http://schemas.openxmlformats.org/officeDocument/2006/docPropsVTypes"/>
</file>