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neparedzēto izmaksu saskaņošanas kārtību ar IZM.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sniedzam komentāru, ka Informatīvajā ziņojumā nav iespējams nolasīt atšķirīgās pazīmes dubultā finansējuma nošķiršanai atbalstāmajām darbībām. CFLA vērš uzmanību, ka ir iespējama jauniešu mērķa grupas pārklāšanās JSPA un VARAM projektos, tādējādi radot dubultfinansējuma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norādot, ka Centrālai finanšu un līgumu aģentūrai jāveic projekta noslēguma dokumentācijas pārbaude un noslēguma maksājuma veikšana līdz 2026.gada 31.augustam.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(38.un 59.punktu) norādot, ka avansa maksājumi tiek sasaistīti ar atskaites punktu un mērķu </w:t>
            </w:r>
            <w:r w:rsidR="00000000" w:rsidRPr="00000000" w:rsidDel="00000000">
              <w:rPr>
                <w:b w:val="1"/>
                <w:rtl w:val="0"/>
              </w:rPr>
              <w:t xml:space="preserve">sasniegšanas progresu.</w:t>
            </w:r>
            <w:r w:rsidR="00000000" w:rsidRPr="00000000" w:rsidDel="00000000">
              <w:rPr>
                <w:rtl w:val="0"/>
              </w:rPr>
              <w:t xml:space="preserve"> Kā arī lūdzam papildināt informatīvo ziņojumu, norādot, ka arī starpposma maksājumi tiek saistīti ar atskaites punktu un mērķu sasniegšanas progresu.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10.03.2023. 14.47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10.03.2023. 14.47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Atzinumi_22-TA-391.docx</dc:title>
</cp:coreProperties>
</file>

<file path=docProps/custom.xml><?xml version="1.0" encoding="utf-8"?>
<Properties xmlns="http://schemas.openxmlformats.org/officeDocument/2006/custom-properties" xmlns:vt="http://schemas.openxmlformats.org/officeDocument/2006/docPropsVTypes"/>
</file>