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4.sadaļu, ņemot vērā noteikumu projekta 10.punktā noteikto, ka izdevumus par tirdzniecības vietas pārbaudi sedz saskaņā ar normatīvajiem aktiem par kārtību, kādā aprēķina un veic maksājumus par Pārtikas un veterinārā dienesta valsts uzraudzības un kontroles darbībām un maksas pakalpojumiem (šobrīd maksa par šādu pakalpojumu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11.03.2024.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11.03.2024.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Atzinumi_23-TA-3121.docx</dc:title>
</cp:coreProperties>
</file>

<file path=docProps/custom.xml><?xml version="1.0" encoding="utf-8"?>
<Properties xmlns="http://schemas.openxmlformats.org/officeDocument/2006/custom-properties" xmlns:vt="http://schemas.openxmlformats.org/officeDocument/2006/docPropsVTypes"/>
</file>