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10. pantā ir paredzēts tiesiskās paļāvības princips, kas noteic, ka </w:t>
            </w:r>
            <w:r w:rsidR="00000000" w:rsidRPr="00000000" w:rsidDel="00000000">
              <w:rPr>
                <w:u w:val="single"/>
                <w:rtl w:val="0"/>
              </w:rPr>
              <w:t xml:space="preserve">privātpersona var paļauties, ka iestādes rīcība ir tiesiska un konsekventa, kā arī iestādes kļūda, kuras pieļaušanā privātpersona nav vainojama, nedrīkst radīt privātpersonai nelabvēlīgas sekas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2023. gada 17. janvāra noteikumi Nr. 15 "Maksimāli pieļaujamā valsts budžeta izdevumu kopapjoma un katrai ministrijai un citai centrālajai valsts iestādei paredzētā izdevumu kopējā apjoma noteikšanas kārtība vidējam termiņam" (turpmāk – noteikumi) attiecas </w:t>
            </w:r>
            <w:r w:rsidR="00000000" w:rsidRPr="00000000" w:rsidDel="00000000">
              <w:rPr>
                <w:u w:val="single"/>
                <w:rtl w:val="0"/>
              </w:rPr>
              <w:t xml:space="preserve">uz ministrijām un citām centrālajām valsts iestādēm (nevis uz privātpersonām)</w:t>
            </w:r>
            <w:r w:rsidR="00000000" w:rsidRPr="00000000" w:rsidDel="00000000">
              <w:rPr>
                <w:rtl w:val="0"/>
              </w:rPr>
              <w:t xml:space="preserve">, lūdzam izvērtēt Ministru kabineta noteikumu projekta "Grozījumi Ministru kabineta 2023. gada 17. janvāra noteikumos Nr. 15 "Maksimāli pieļaujamā valsts budžeta izdevumu kopapjoma un katrai ministrijai un citai centrālajai valsts iestādei paredzētā izdevumu kopējā apjoma noteikšanas kārtība vidējam termiņam"" (turpmāk – projekts)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ietverto pamatojumu par projektā paredzētajā noteikumu 56. un 57. punktā ietverto pārejas regulējumu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sākotnējās ietekmes </w:t>
            </w:r>
            <w:r w:rsidR="00000000" w:rsidRPr="00000000" w:rsidDel="00000000">
              <w:rPr>
                <w:i w:val="1"/>
                <w:rtl w:val="0"/>
              </w:rPr>
              <w:t xml:space="preserve">(ex-ante)</w:t>
            </w:r>
            <w:r w:rsidR="00000000" w:rsidRPr="00000000" w:rsidDel="00000000">
              <w:rPr>
                <w:rtl w:val="0"/>
              </w:rPr>
              <w:t xml:space="preserve"> novērtējuma ziņojumu (anotāciju) ar informāciju, kas ir projektā paredzētajā noteikumu 56. punktā minētās izmaiņas "atbilstoši likumprojekta "Par valsts budžetu 2026. gadam un budžeta ietvaru 2026., 2027. un 2028. gadam" Saeimā 2. lasījumā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Sākot ar budžeta ietvaru 2027. – 2030. gadam budžeta plānošanā izmanto BPIS un 2026. gadā tajā veic valsts budžeta datu sākotnējo uzpildi, kas ir par pamatu turpmāko budžeta ietvaru izstrādei. BPIS iestādes sākotnēji ievada informāciju par 2026. – 2029. gadu periodu (ievērojot budžeta plānošanai no 2027. gada ministrijai izstrādāto jauno budžeta programmu un apakšprogrammu struktūru, kas saskaņota ar Finanšu ministriju):   datus par 2026. – 2028. gadiem (n+1, n+2, n+3 gadiem) atbilstoši apstiprinātajam likumam “Par valsts budžetu 2026.gadam un budžeta ietvaru 2026., 2027. un 2028. gadam” un datus par 2029. gadu (n+4 gadu)  ievada atbilstoši aprēķinātajiem mērķa griestiem 2029. gadam (Ministru kabineta 2025. gada 26. augusta sēdes protokols Nr.33, 53. § Informatīvais ziņojums "Par valsts pamatbudžeta un valsts speciālā budžeta bāzi un izdevumu pārskatīšanas rezultātiem 2026., 2027., 2028. un 2029. gadam" 25-TA-2002, 2. punkts), kā arī izmaiņām atbilstoši likumprojekta “Par valsts budžetu 2026. gadam un budžeta ietvaru 2026., 2027. un 2028. gadam” Saeimā 2. lasījumā pieņemtajiem lēmumiem, kuriem ir ietekme uz 2029. gadu. Iestādes pie sākotnējās datu uzpildes ievada nepieciešamos datus 2030.gada (n+5) bāzes veidošanai, izmantojot BPIS aili “Turpmāk ik gadu” un aili “2030” atbilstoši Finanšu ministrijas izstrādātajām vadlīnijām sākotnējai valsts budžeta datu uzpildei. BPIS budžeta bāzi 2027. – 2030. gadam iegūst automātiski no valsts budžeta sākotnējās uzpildes 2026. – 2029. gada datiem, 2030.gada ietvara aili aizpildot ar kopsummu no sākotnējās uzpildes laikā ievadītajiem datiem ailē “Turpmāk ik gadu” (ikgadēji turpināmie pasākumi) un ailē “2030” (periodiski mainīgi vai laikā terminēti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Latvijas Republikas Saeima </w:t>
            </w:r>
            <w:r w:rsidR="00000000" w:rsidRPr="00000000" w:rsidDel="00000000">
              <w:rPr>
                <w:u w:val="single"/>
                <w:rtl w:val="0"/>
              </w:rPr>
              <w:t xml:space="preserve">pieņem likumus</w:t>
            </w:r>
            <w:r w:rsidR="00000000" w:rsidRPr="00000000" w:rsidDel="00000000">
              <w:rPr>
                <w:rtl w:val="0"/>
              </w:rPr>
              <w:t xml:space="preserve"> (nevis apstiprina), lūdzam precizēt projektā paredzētajā noteikumu 56.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izvērtēt arī projektā paredzētajā noteikumu 6.1. apakšpunktā ietverto regulējumu un nepieciešamības gadījumā attiecīgi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Prioritārā pasākuma pieteikums vidējam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vidēja termiņa budžeta ietvaru turpmāk plānos nākamajiem četriem gadiem – n+1, n+2, n+3 un n+4 gadam, tad arī projektā paredzētajā noteikumu 1. un 2. pielikumā ir nepieciešams pievienot vēl vienu aili n+4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