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 ka Centrālā finanšu un līgumu aģentūra var palielināt Eiropas Savienības kohēzijas politikas programmas 2021.–2027. gadam 4.2.2.3.pasākuma  “Mācību procesa kvalitātes pilnveide, īstenojot pedagogu profesionālās darbības atbalsta sistēmas attīstību, izglītojamo izcilības aktivitāšu nodrošināšanu un metodiskā atbalsta materiālu izstrādi pedagogam” ietvaros īstenojamā projekta finansējumu tikai pēc grozījumu projekta apstiprināšanas Ministru kabineta 26.11.2024.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un sadarbības partneri paraksta interešu konflikta neesības apliecinājumu un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20.punktā izteiktā 46.punkta nepieciešamību, ņemot vērā gan konkrētā specifiskā atbalsta mērķa projekta veidu, kā arī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05.06.2025.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05.06.2025.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