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noteikumu projekta 4. pantā noteiktās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kas izriet no administratīvajām (informēšanas) un atbilstības prasībām. Apstiprinoša rezultāta gadījumā jāveic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vērtējumam lūdzu iekļaut anotācijā atbilstības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monetārs novērtējums par fiziskām un juridiskām personām ir aizpildāms anotācijas 2. sadaļas 2.4. apakšpunktā un par valsts vai pašvaldību institūcijām - 7. sadaļas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likumprojektam 18.07.2025. izsludināts saskaņošanas process, kurš noslēgsies 01.08.2025. un vienlaikus 18.07.2025. uzsākta publiskā apspriešana, kas noslēgsies 01.08.2025. Vēršam uzmanību, ka likumprojekta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30.07.2025.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30.07.2025.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Atzinumi_24-TA-1951.docx</dc:title>
</cp:coreProperties>
</file>

<file path=docProps/custom.xml><?xml version="1.0" encoding="utf-8"?>
<Properties xmlns="http://schemas.openxmlformats.org/officeDocument/2006/custom-properties" xmlns:vt="http://schemas.openxmlformats.org/officeDocument/2006/docPropsVTypes"/>
</file>