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sniegto informāciju anotācijas 2.1.apakšpunktā, jo nav sniegts ietekmes apraksts fiziskām personām.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17.01.2024.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17.01.2024.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