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22-TA-3597: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2.2. reformu un investīciju virziena “Uzņēmumu digitālā transformācija un inovācijas” 2.2.1.3.i. investīcijas "Atbalsts jaunu produktu un pakalpojumu ieviešanai uzņēmējdarbībā"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projekta dalībnieku un to biedru sarakstu, norādot nosaukumu, reģistrācijas numuru, ja tas tiek izmantots šo noteikumu </w:t>
            </w:r>
            <w:r w:rsidR="00000000" w:rsidRPr="00000000" w:rsidDel="00000000">
              <w:rPr>
                <w:rtl w:val="0"/>
              </w:rPr>
              <w:t xml:space="preserve">32.2.</w:t>
            </w:r>
            <w:r w:rsidR="00000000" w:rsidRPr="00000000" w:rsidDel="00000000">
              <w:rPr>
                <w:rtl w:val="0"/>
              </w:rPr>
              <w:t xml:space="preserve"> un </w:t>
            </w:r>
            <w:r w:rsidR="00000000" w:rsidRPr="00000000" w:rsidDel="00000000">
              <w:rPr>
                <w:rtl w:val="0"/>
              </w:rPr>
              <w:t xml:space="preserve">32.3. </w:t>
            </w:r>
            <w:r w:rsidR="00000000" w:rsidRPr="00000000" w:rsidDel="00000000">
              <w:rPr>
                <w:rtl w:val="0"/>
              </w:rPr>
              <w:t xml:space="preserve">apakšpunktā</w:t>
            </w:r>
            <w:r w:rsidR="00000000" w:rsidRPr="00000000" w:rsidDel="00000000">
              <w:rPr>
                <w:rtl w:val="0"/>
              </w:rPr>
              <w:t xml:space="preserve"> minēto finanšu rādītāju pamatošanai;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terminoloģijā nomainot “projekta dalībnieku” uz “finansējuma saņēmēja dalībnieku”, jo uz projekta iesniegšanas bīdi projekta dalībnieki vēl nav zināmi.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finansējuma saņēmēja dalībnieku un to biedru sarakstu, norādot nosaukumu, reģistrācijas numuru, ja tas tiek izmantots šo noteikumu 32.2. un 32.3. apakšpunktā minēto finanšu rādītāju pamatošanai;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Līdz ar pētniecības projektu sadarbības partneris finansējuma saņēmējam iesniedz Eiropas digitālās inovācijas centra sagatavotu sākotnējo digitālā brieduma testu un digitālo attīstības ceļa karti, kas apliecina pētniecības projekta vajadzību.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noteikto kārtību un paredzēt, ka sākotnējais digitālā brieduma tests un digitālā attīstības ceļa karte nav nepieciešami. Priekšlikums svītrot 38.punktu.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Projekta īstenošanas laikā finansējuma saņēmējs saņem avansa un noslēguma maksājumu. Pēc līguma par projekta īstenošanu noslēgšanas starp finansējuma saņēmēju un Aģentūru, finansējuma saņēmējs pieprasa Aģentūrai pirmo avansa maksājumu, kas nepārsniedz 40 procentus no kopējā projekta publiskā finansējuma apmēra. Ja finansējuma saņēmējs nav ieguldījis pirmo avansa maksājumu vismaz 80 procentu apmērā un ir sasniegts projekta ietvaros kopējais plānotais rādītājs, tad finansējuma saņēmējs īsteno projektu līdz pirmais avansa maksājums ieguldīts vismaz 80 procentu apmērā. Ja nav sasniegts kopējais projekta ietvaros plānotais rādītājs, tad finansējuma saņēmējs atmaksā Aģentūrai projekta ietvaros piešķirto pirmo avansa maksājumu pilnā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mainīto finansēšanas kārtību, kas paredz avansus.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iepriekš jau saskaņoto projekta finansēšanas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22-TA-3597</w:t>
    </w:r>
    <w:r>
      <w:br/>
    </w:r>
    <w:r w:rsidR="00000000" w:rsidRPr="00000000" w:rsidDel="00000000">
      <w:rPr>
        <w:rtl w:val="0"/>
      </w:rPr>
      <w:t xml:space="preserve">Izdrukāts 15.12.2023. 09.42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22-TA-3597</w:t>
    </w:r>
    <w:r>
      <w:br/>
    </w:r>
    <w:r w:rsidR="00000000" w:rsidRPr="00000000" w:rsidDel="00000000">
      <w:rPr>
        <w:rtl w:val="0"/>
      </w:rPr>
      <w:t xml:space="preserve">Izdrukāts 15.12.2023. 09.42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Atzinumi_22-TA-3597.docx</dc:title>
</cp:coreProperties>
</file>

<file path=docProps/custom.xml><?xml version="1.0" encoding="utf-8"?>
<Properties xmlns="http://schemas.openxmlformats.org/officeDocument/2006/custom-properties" xmlns:vt="http://schemas.openxmlformats.org/officeDocument/2006/docPropsVTypes"/>
</file>