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36 541 003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un pārdales rezervei paredzētais finansējuma apjoms 3 431 321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31 059 852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pārdales rezervei paredzētais finansējuma apjoms 2 916 623 </w:t>
            </w:r>
            <w:r w:rsidR="00000000" w:rsidRPr="00000000" w:rsidDel="00000000">
              <w:rPr>
                <w:i w:val="1"/>
                <w:rtl w:val="0"/>
              </w:rPr>
              <w:t xml:space="preserve">euro</w:t>
            </w:r>
            <w:r w:rsidR="00000000" w:rsidRPr="00000000" w:rsidDel="00000000">
              <w:rPr>
                <w:rtl w:val="0"/>
              </w:rPr>
              <w:t xml:space="preserve">) un valsts budžeta līdzfinansējums – 5 481 151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un pārdales rezervei paredzētais finansējuma apjoms 514 698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programmas 2021.–2027.gadam enerģētikas pasākumiem pārdalāmais finansējums Izglītības un zinātnes ministrijas atbalsta pasākumiem nav pieejams, lūdzam izteikt noteikumu projektu atbilstoši Finanšu ministrijas 2023.gada 30.maija vadlīniju Nr.1.4. "Vadlīnijas Ministru kabineta noteikumu par specifiskā atbalsta mērķa īstenošanu izstrādei Eiropas Savienības fondu 2021.—2027. gada plānošanas periodā" 4.punktā noteiktai redakcijai. Atbilstoši lūdzam precizēt arī noteikumu projekta 35. un 36.punktu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kopējais attiecināmais finansējums ir 33 109 682 </w:t>
            </w:r>
            <w:r w:rsidR="00000000" w:rsidRPr="00000000" w:rsidDel="00000000">
              <w:rPr>
                <w:i w:val="1"/>
                <w:rtl w:val="0"/>
              </w:rPr>
              <w:t xml:space="preserve">euro </w:t>
            </w:r>
            <w:r w:rsidR="00000000" w:rsidRPr="00000000" w:rsidDel="00000000">
              <w:rPr>
                <w:rtl w:val="0"/>
              </w:rPr>
              <w:t xml:space="preserve">(tai skaitā elastības finansējuma apjoms 11 654 274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28 143 229 </w:t>
            </w:r>
            <w:r w:rsidR="00000000" w:rsidRPr="00000000" w:rsidDel="00000000">
              <w:rPr>
                <w:i w:val="1"/>
                <w:rtl w:val="0"/>
              </w:rPr>
              <w:t xml:space="preserve">euro </w:t>
            </w:r>
            <w:r w:rsidR="00000000" w:rsidRPr="00000000" w:rsidDel="00000000">
              <w:rPr>
                <w:rtl w:val="0"/>
              </w:rPr>
              <w:t xml:space="preserve">(tai skaitā elastības finansējuma apjoms 9 906 133 </w:t>
            </w:r>
            <w:r w:rsidR="00000000" w:rsidRPr="00000000" w:rsidDel="00000000">
              <w:rPr>
                <w:i w:val="1"/>
                <w:rtl w:val="0"/>
              </w:rPr>
              <w:t xml:space="preserve">euro</w:t>
            </w:r>
            <w:r w:rsidR="00000000" w:rsidRPr="00000000" w:rsidDel="00000000">
              <w:rPr>
                <w:rtl w:val="0"/>
              </w:rPr>
              <w:t xml:space="preserve">) un valsts budžeta līdzfinansējums – 4 966 453</w:t>
            </w:r>
            <w:r w:rsidR="00000000" w:rsidRPr="00000000" w:rsidDel="00000000">
              <w:rPr>
                <w:i w:val="1"/>
                <w:rtl w:val="0"/>
              </w:rPr>
              <w:t xml:space="preserve"> euro </w:t>
            </w:r>
            <w:r w:rsidR="00000000" w:rsidRPr="00000000" w:rsidDel="00000000">
              <w:rPr>
                <w:rtl w:val="0"/>
              </w:rPr>
              <w:t xml:space="preserve">(tai skaitā elastības finansējuma apjoms 1 748 141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Latvijas zinātnes un inovāciju kopienas interešu pārstāvniecība Briselē ir sniegusi atbalstu programmas “Apvārsnis Eiropa” un programmas 10. IP jaunu ārvalstu partneru piesaistē Latvijas organizācijām, palielinot jaunu (unikālo) ārvalstu partneru skaitu par pieciem procentiem;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anotāciju, norādot, pret kādu bāzes vērtību (ārvalstu partneru skaitu) ir nepieciešams vērtēt procentuālo pieaugumu 18.1.apakšpuntā noteiktajam nacionālajam rādītājam.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Otrajai kārtai plānotais kopējais publiskais attiecināmais finansējums ir 27 096 003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un pārdales rezervei paredzētais finansējuma apjoms 3 431 321 </w:t>
            </w:r>
            <w:r w:rsidR="00000000" w:rsidRPr="00000000" w:rsidDel="00000000">
              <w:rPr>
                <w:i w:val="1"/>
                <w:rtl w:val="0"/>
              </w:rPr>
              <w:t xml:space="preserve">euro</w:t>
            </w:r>
            <w:r w:rsidR="00000000" w:rsidRPr="00000000" w:rsidDel="00000000">
              <w:rPr>
                <w:rtl w:val="0"/>
              </w:rPr>
              <w:t xml:space="preserve">), tai skaitā ERAF finansējums 23 031 602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pārdales rezervei paredzētais finansējuma apjoms 2 916 623 </w:t>
            </w:r>
            <w:r w:rsidR="00000000" w:rsidRPr="00000000" w:rsidDel="00000000">
              <w:rPr>
                <w:i w:val="1"/>
                <w:rtl w:val="0"/>
              </w:rPr>
              <w:t xml:space="preserve">euro</w:t>
            </w:r>
            <w:r w:rsidR="00000000" w:rsidRPr="00000000" w:rsidDel="00000000">
              <w:rPr>
                <w:rtl w:val="0"/>
              </w:rPr>
              <w:t xml:space="preserve">) un valsts budžeta līdzfinansējums – 4 064 401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un pārdales rezervei paredzētais finansējuma apjoms 514 698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š.g. 30.novembrī precizēto programmas papildinājumu, 1.1.1.5.pasākuma otrās kārtas ietvaros ERAF elastības finansējuma daļa ir nevis 9 906 133 EUR, bet 10 366 158 EUR, kā arī valsts budžeta līdzfinansējuma elastības finansējuma daļa ir nevis 1 748 141 EUR, bet 1 829 322 EUR. Lūdzam atbilstoši precizēt noteikumu projekta 35. un 36.punktu.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Otrās kārtas ietvaros Kohēzijas politikas fondu vadības informācijas sistēmā finansējuma saņēmējam ir jāuzkrāj šādi RIS3 rādītāji katrā no RIS3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39.punktu ar šādu RIS3 rādītāju, kas nodrošina kopējo P&amp;A izdevumu apjoma apkopošanu privātā finansējuma griezumā, EUR katrā no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P&amp;A izdevumu apjoms - privātās investīcijas,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tostarp nosacījumi, kas izriet no Komisijas regulas Nr.651/2014, projekta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jāparedz rīcība gadījumos, kad komercdarbības atbalsta izslēdzošie nosacījumi netiek ievēroti, lūdzam šo noteikumu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šo noteikumu ietvaros īstenotais projekts kļūst par ar saimniecisko darbību saistītu projektu,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54. punktu, attiecinot tā nosacījumus arī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pie intervences kodiem iekļaut arī finansējuma sadalījumu pa intervences kodiem dalījumu pa pasākuma kārtām, t.i., 1.,2. un 3.kārta. Vēršam uzmanību, ka šī informācija ir nepieciešama korektai atspoguļošanai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kāpēc RIS3 monitoringa datu uzkrāšana netiks veikta pasākuma 1.kārtas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"Otrās kārtas īstenošanas nosacījumi" lūdzu norādīt, ka atbildību par minēto RIS3 rādītāju datu ticamību uzņemas finansējuma saņēmējs un sadarbības iestāde neveic šo datu pārbaudi (uzkrātie dati ir informatīvi un kalpo nozares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norādot, ka nepieciešamais finansējums 1.1.1.5. pasākuma “Latvijas pilnvērtīga dalība Apvārsnis Eiropa programmā, tajā skaitā nodrošinot kompleksu atbalsta instrumentu klāstu un sasaisti ar RIS3 specializācijas jomu attīstīšanu”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23-TA-1557</w:t>
    </w:r>
    <w:r>
      <w:br/>
    </w:r>
    <w:r w:rsidR="00000000" w:rsidRPr="00000000" w:rsidDel="00000000">
      <w:rPr>
        <w:rtl w:val="0"/>
      </w:rPr>
      <w:t xml:space="preserve">Izdrukāts 04.12.2023.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23-TA-1557</w:t>
    </w:r>
    <w:r>
      <w:br/>
    </w:r>
    <w:r w:rsidR="00000000" w:rsidRPr="00000000" w:rsidDel="00000000">
      <w:rPr>
        <w:rtl w:val="0"/>
      </w:rPr>
      <w:t xml:space="preserve">Izdrukāts 04.12.2023.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Atzinumi_23-TA-1557.docx</dc:title>
</cp:coreProperties>
</file>

<file path=docProps/custom.xml><?xml version="1.0" encoding="utf-8"?>
<Properties xmlns="http://schemas.openxmlformats.org/officeDocument/2006/custom-properties" xmlns:vt="http://schemas.openxmlformats.org/officeDocument/2006/docPropsVTypes"/>
</file>