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Trauksmes celšanas likuma īstenošanas </w:t>
      </w:r>
      <w:r w:rsidR="00000000" w:rsidRPr="00000000" w:rsidDel="00000000">
        <w:rPr>
          <w:i w:val="1"/>
          <w:rtl w:val="0"/>
        </w:rPr>
        <w:t xml:space="preserve">ex-post </w:t>
      </w:r>
      <w:r w:rsidR="00000000" w:rsidRPr="00000000" w:rsidDel="00000000">
        <w:rPr>
          <w:rtl w:val="0"/>
        </w:rPr>
        <w:t xml:space="preserve">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informācijas atspoguļošanai, ko sevī ietver valsts nodrošinātā juridiskā palīdzība, izsakām priekšlikumu informatīvā ziņojuma 45.lpp. trešo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(atšķirībā no citām ES dalībvalstīm) trauksmes cēlējiem no valsts puses ir ierobežots atbalsts represiju vai identitātes izpaušanas gadījumā. Šobrīd var saņemt juridisko palīdzību, proti, valsts apmaksātas juridiskās konsultācijas, </w:t>
            </w:r>
            <w:r w:rsidR="00000000" w:rsidRPr="00000000" w:rsidDel="00000000">
              <w:rPr>
                <w:u w:val="single"/>
                <w:rtl w:val="0"/>
              </w:rPr>
              <w:t xml:space="preserve">procesuālo dokumentu sagatavošanu un juridiskās palīdzības sniegšanu tiesā</w:t>
            </w:r>
            <w:r w:rsidR="00000000" w:rsidRPr="00000000" w:rsidDel="00000000">
              <w:rPr>
                <w:rtl w:val="0"/>
              </w:rPr>
              <w:t xml:space="preserve">, kā arī problēmu gadījumā lūgt konsultāciju trauksmes cēlēju kontaktpunktā vai Valsts darba inspekcijā. Taču trauksmes cēlējam pašam jāvirza savs aizstāvības process, bet tam vajadzīgas juridiskās zināšanas un resursi, un tas ir ilgstošs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Bārbale (TA)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04.07.2024.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04.07.2024.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Atzinumi_24-TA-1548.docx</dc:title>
</cp:coreProperties>
</file>

<file path=docProps/custom.xml><?xml version="1.0" encoding="utf-8"?>
<Properties xmlns="http://schemas.openxmlformats.org/officeDocument/2006/custom-properties" xmlns:vt="http://schemas.openxmlformats.org/officeDocument/2006/docPropsVTypes"/>
</file>