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BENU Aptieka Latvija SIA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"10.</w:t>
            </w:r>
            <w:r w:rsidR="00000000" w:rsidRPr="00000000" w:rsidDel="00000000">
              <w:rPr>
                <w:vertAlign w:val="superscript"/>
                <w:rtl w:val="0"/>
              </w:rPr>
              <w:t xml:space="preserve">3 </w:t>
            </w:r>
            <w:r w:rsidR="00000000" w:rsidRPr="00000000" w:rsidDel="00000000">
              <w:rPr>
                <w:rtl w:val="0"/>
              </w:rPr>
              <w:t xml:space="preserve">Līgumu par no valsts budžeta līdzekļiem apmaksātu veselības aprūpes pakalpojumu sniegšanu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norāda gadījumus, kādos līgumsods maksājams un to apmēru, kā arī kārtību, kādā tiek veikta līgumsoda samaksa un veikti ieturējumi."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mehānismu, kas novērstu situāciju, ka NVD vienpersoniski un bez ārēja tiesiskā ietvara nosaka līgumsodu piemērošanas gadījumus, apmērus un ieturējumu kārtību. Tas faktiski nozīmē, ka iestāde pati sev piešķir plašas rīcības brīvības tiesības noteikt sankcijas privātpersonām, lai gan šādas sekas skar komersanta tiesības un brīvības.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nav savienojams ar likuma atrunas principu, jo nelabvēlīgas sekas privātpersonai var izrietēt tikai no skaidri likumā noteiktām normām, nevis iestādes vienpusējas rīcības vai iekšējās izstrādes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BENU Aptieka Latvija SIA norādīja iepriekšējos iebildumus, no NVD sagatavotā līguma pielikuma projekta izriet, ka plānotie līgumsodi attiecas uz tādiem pašiem pārkāpumiem, kas jau šobrīd ir kvalificējami kā zāļu aprites un farmaceitiskās darbības administratīvie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būtu iespējama dubultā sodīšana — komersants par vienu un to pašu rīcību saņemtu gan administratīvo sodu, gan līgumsodu, kas savukārt nav samērīgi un rada nepamatotu pamattiesību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Līgumsods nevar kalpot kā paralēla sankciju sistēma par normatīvo aktu pārkāpumiem, par kuriem jau pastāv administratīvās atbildības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komersantiem nav reālu iespēju ietekmēt līguma saturu — NVD neakceptē izmaiņas un līguma noteikumi tiek piedāvāti kā vienpusēji pieņemami. Tas nozīmē, ka arī jaunie līgumsodi, ko NVD noteiks līgumos, nebūs apspriežami un netiks panākti līgumslēdzēju pušu vienlīdzīgā gribā.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komersanti faktiski tiks nostādīti situācijā, kur līgumsods ir “uzspiests” un nav caurspīdīgi noteikts. Šāda prakse neatbilst tiesiskās vienlīdzības principam, jo komersants nevar ne ietekmēt, ne prognozēt sankciju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līgumsodu veidi, piemērošanas gadījumi, apmēri un aprēķināšanas kārtība ir jānosaka ārējā normatīvajā aktā, ko izstrādā un pieņem likumdevējs vai Ministru kabinets. Tas nodrošinātu caurskatāmību un tiesisko noteiktību, vienlīdzīgu un prognozējamu tiesību piemērošanu visiem komersantiem, samērīgu privātpersonas tiesību ierobežošanu un taisnīgu līdzsvaru starp valsts interesi uzraudzīt budžeta līdzekļu izlietojumu un komersantu tiesībām uz juridisku 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 regulējuma līgumsodi ir nesamērīgi, neprognozējami un nav balstīti pietiekamā tiesiskā pamatojumā.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Rožkalna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07.04.2026.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07.04.2026.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