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3.iterācijā tika norādīts, ka saskaņā ar Ministru kabineta 2026. gada 24. februāra sēdes protokola Nr. 9/37.§ 2.punktu 720 000 euro no Eiropas Savienības Atveseļošanas un noturības mehānisma finansējuma novirzīti projektam Nr.2.1.2.1.i.0/2/24/I/CFLA/005 “Pašvaldību vēlēšanu un referendumu IS funkcionalitātes pilnveide” Vēlēšanu platformas risinājuma SKENIS funkcionalitātes papildinājumu izstrādei, lai nodrošinātu iespēju ieskenēto vēlēšanu zīmju lokālai apstrādei vēlēšanu iecirkņos arī gadījumos, kad nav pieejams stabils interneta savienojums vai rodas mākoņa infrastruktūras darbības traucējumi. Šajā iterācijā minēto finansējumu plānots novirzīt citām aktivitātēm -  Vēlēšanu platformas darbības nodrošināšanai nepieciešamās infrastruktūras un mākoņdatošanas pakalpojumu pilnveidošanai - nemainot finansējuma apmēru. Ņemot vērā iepriekš minēto, lūdzam pārskatīt un precizēt anotācijā ietverto informāciju, nodrošinot tās atbilstību aktuālajai situācijai. Vienlaikus aicinām anotāciju papildināt ar pamatojumu iepriekš plānoto aktivitāšu izmaiņām, aprakstot šo izmaiņu nepieciešamību un izmaiņu iespējamo ietekmi uz Vēlēšanu platformas kopējo darbību un tās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ievērojot, ka pret iepriekš skaņoto versiju, projekta AF finansējums ir palielināts vēl par 465 528 euro (kā tas norādīts arī anotācijas 1.3.sadaļā), lūdzam šādu informāciju sniegt arī anotācijas 3.sadaļas 6.punktā aiz trešās rindkopas, tai skaitā norādot finansējuma sadalījumu pa finansējuma avotiem (AF finansējums un valsts budžeta finansējums), tādējādi skaidrojot jauno projekta izmaksu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pie tabulas par uzturēšanas izmaksām, iekļaut skaidrojumu, kādas izmaksu pozīcijas ietilpst projekta uzturēšanas izmaksu pozīcijā “Vēlēšanu platforma”, proti, norādīt informāciju atbilstoši plāna 8.punktā norādītajam – programmatūras uzturēšanas, mākoņdatošanas infrastruktūras, licenču, kiberdrošības un tehniskā atbalsta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punktā “Cita informācija” papildināt ar informāciju, ka finansējums uzturēšanas izmaksām nepieciešams Viedās administrācijas un reģionālās attīstības ministrijai (Valsts digitālās attīstības aģentūrai) un Iekšlietu ministrijai (Pilsonības un migrācijas lietu pārvaldei) un tas tiks pieprasīts,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paredzēto, vienlaikus, ņemot vērā, ka saskaņā ar projektā sniegto informāciju Iekšlietu ministrijai (Pilsonības un migrācijas lietu pārvaldei) uzturēšanas izmaksām pēc projekta pabeigšanas būs nepieciešams finansējums nelielā apmērā, lūdzam Iekšlietu ministriju izvērtēt iespējas uzturēšanas izmaksas segt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Sākot ar 2027. gadu noteikt projekta rezultātu uzturēšanas izmaksas ne vairāk kā 543 573 euro gadā, no tiem ne vairāk kā 52 500 euro paredzēt Pilsonības un migrācijas lietu pārvaldei un ne vairāk kā 491 073 euro – Valsts digitālās attīstības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4.2.apakšpunktā svītrot vārdus “noteikt projekta rezultātu uzturēšanas izmaksas”, ievērojot, ka tie dublē 4.punkta ievadā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Nepieciešamo finansējumu Viedās administrācijas un reģionālās attīstības ministrijai (Valsts digitālās attīstības aģentūrai) un Iekšlietu ministrijai (Pilsonības un migrācijas lietu pārvaldei) pieprasīt normatīvajos aktos noteiktajā kārtībā saskaņā ar Likuma par budžetu un finanšu vadību 9.1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4.3.apakšpunktu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Nepieciešamo finansējumu Viedās administrācijas un reģionālās attīstības ministrijai (Valsts digitālās attīstības aģentūrai) un Iekšlietu ministrijai (Pilsonības un migrācijas lietu pārvaldei)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4.3.2. apakšpunkta “Vēlēšanu platformas un saistīto sistēmu pilnveidošana” norādīto maksimāli plānoto finansējumu, tai skaitā ar PVN, jo saskaitot kopā 4.3.1. un 4.3.2. apakšpunktā norādītās projekta darbību maksimālās summas bez un ar PVN, kopsumma veidojas lielāka par rīkojuma projektā apstiprināšanai paredzēto kopējo projekta summu bez un ar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projektam tiek plānotas uzturēšanas izmaksas jau 2026.gadā, lūdzam papildināt projekta pases 7.punktu “Izmaksu/ieguvumu analīze, tai skaitā ietekme uz pārvaldes darbinieku skaitu” ar minēto informāciju, tādējādi to savstarpēji salāgojot.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20.05.2026.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20.05.2026.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