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14.</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maksājuma saistības ar piegādātāju ir īsākas, un par preci ir jānorēķinās ātrāk. Trīs mēnešu vakcīnu krājumu uzturēšana var radīt finansiālu slogu, jo lieltirgotava nevar tik ilgi gaidīt samaksu no NVD itsevišķi, ja NVD samaksu veic vēl 60 dienu laikā pēc piegādes. Šāda krājuma uzturēšana prasa papildus resursus, tostarp noliktavas telpas un personāla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finansiālu stabilitāti un drošību, ir nepieciešams garantēts vakcīnu iepirkumu apjoms, ar ko lieltirgotavas varētu rēķināties. Ja NVD apņemas izpirkt ne mazāk kā 90% no kopējā pasūtījuma apjoma, tad ir vērts ieguldīt līdzekļus un turēt rezerves atlikumus.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03.06.2025.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03.06.2025.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Atzinumi_24-TA-3218.docx</dc:title>
</cp:coreProperties>
</file>

<file path=docProps/custom.xml><?xml version="1.0" encoding="utf-8"?>
<Properties xmlns="http://schemas.openxmlformats.org/officeDocument/2006/custom-properties" xmlns:vt="http://schemas.openxmlformats.org/officeDocument/2006/docPropsVTypes"/>
</file>