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aizsargājamām alejām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14. pants noteic, ka aizsargājamo teritoriju un to funkcionālo zonu robežas attēlo vietējās pašvaldības teritorijas plānojumā. Lūdzam apzināt un anotācijas 4.sadaļā norādīt, kuru pašvaldību saistošajos noteikumos par teritoriju plānojumu apstiprināšanu (iespējams arī citos saistošajos noteikumos), kā arī īpaši aizsargājamās dabas teritorijas individuālajos aizsardzības un izmantošanas noteikumos būs nepieciešami precizējumi saistībā ar projektā paredzētajām izmaiņām esošajā regulējumā.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spēkā esošā tiesību akta atzīšana par spēku zaudējušu ir paredzēta izstrādātajā tiesību akta projektā, to norāda nevis anotācijas 4.sadaļā, bet anotācijas 1.sadaļā. Lūdzam precizēt anotācijas 1. un 4.sadaļu.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sadaļu, ņemot vērā to, ka regulējuma izpildi nodrošinās Vides aizsardzības un reģionālās attīstības ministrija, Dabas aizsardzības pārvalde, Valsts vides dienests, Valsts meža dienests, konkrētas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24. pants noteic, ka zemes īpašnieka un lietotāja pienākums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aizsargājamo teritoriju aizsardzības un izmantošanas noteikumu ievērošanu un veikt attiecīgajās teritorijās aizsardzības un kopšanas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ziņot aizsargājamās teritorijas pārvaldes institūcijai vai pašvaldībai par esošajām vai iespējamām izmaiņām dabas veidojumos, kā arī aizsardzības un izmantošanas noteikumu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likuma 25.panta otrā daļa noteic, ka zemes īpašniekam ir pienākums informēt Dabas aizsardzības pārvaldi par nodomu pārdot sev piederošo zemi aizsargājamā teritorijā, iesniedzot darījuma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2.1.apakšpunkta aprakstu ar jaunajiem pienākumiem un papildināt sabiedrības mērķgrupu uzskaitījumu ar zemes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28. pants noteic, ka saskaņā ar šo likumu Ministru kabineta noteikto aizsargājamo teritoriju izveidošanu un pārvaldi finansē no valsts budžetā šim mērķim paredzētajiem līdzekļiem. Ņemot vērā to, ka projekts paredz jaunu īpaši aizsargājamu teritoriju izveidi un esošo  - statusa maiņu (aizsardzības prasību maiņu), tas rada administratīvās un atbilstības izmaksas - robežu apzīmējumu sakārtošana, informācijas aktualizēšana un pieejamība, atļauju sakārtošana, veicamo darbību un procesu pielāgošana noteiktajam aizsardzības līmenim u.c., tāpēc nevar apgalvot, ka ietekmes nav. Ievērojot minēto, lūdzam papildināt sadaļu vismaz ar vispārīgu ietekmes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samērīgs pārejas regulējums, kādām turpmākām darbībām (kas nekaitētu aizsargājamai teritorijai), kuras sākot no šo noteikumu spēkā stāšanās klasificēsies kā aizliegta vai ierobežota darbība, ko zemes īpašnieki vai citas personas ir uzsākušas veikt vēl līdz šīm izmaiņām, paļaujoties uz esošo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risinājuma aprakstā īsumā norādīt konkrētas alejas izveidošanas vai statusa likvidēšanas pamatiemeslu.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Aizsargājamo aleju robežu ģeotelpiskie dati pieejami Dabas datu pārvaldības sistēmā atbilstoši normatīvajiem aktiem par dabas datu pārvaldības sistēmas uzturēšanas, datu aktualizācijas un informācijas aprites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noteikumiem apstiprinātās robežas statiskajā grafiskajā daļā (karte - shēma) reāli dabā varētu noteikt tikai aptuveni un augstāku precizitāti sabiedrībai sniedz robežu ģeotelpiskie dati Dabas datu pārvaldības sistēmā  un sekojoši arī  Teritorijas attīstības plānošanas informācijas sistēmā (TAPIS), </w:t>
            </w:r>
            <w:r w:rsidR="00000000" w:rsidRPr="00000000" w:rsidDel="00000000">
              <w:rPr>
                <w:b w:val="1"/>
                <w:rtl w:val="0"/>
              </w:rPr>
              <w:t xml:space="preserve">aicinām anotācijā skaidrot,</w:t>
            </w:r>
            <w:r w:rsidR="00000000" w:rsidRPr="00000000" w:rsidDel="00000000">
              <w:rPr>
                <w:rtl w:val="0"/>
              </w:rPr>
              <w:t xml:space="preserve"> cik ilgā laikā būs pieejami aktuālie aizsargājamo aleju robežu ģeotelpiskie dati Dabas datu pārvaldības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likuma "Par īpaši aizsargājamām dabas teritorijām" 14. panta pirmā daļa noteic, ka aizsargājamo teritoriju un to funkcionālo zonu robežas attēlo vietējās pašvaldības teritorijas 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lai nebūtu pārpratumu robežu jautājumos, būtu efektīvāk, ja būtu viena grafiskā daļa (karte- shēma) un tā saderētu arī ar vietējās pašvaldības teritorijas plānojumu. Vēršam uzmanību, ka šobrīd ar noteikumiem apstiprinātais kartes (shēmas) attēls noteiktā mērogā ir juridiski saistošs, bet ģeotelpiskie dati, kuri pieejami dabas datu pārvaldības sistēmā ir informatīvi. Turklāt, ja robežu ģeotelpiskie dati ir pieejami dabas datu pārvaldības sistēmā, kuras datus pēc tam iekļauj teritorijas plānošanas kartēs, uzskatam, ja tehniski ir iespējams, būtu lietderīgi noteikumos apstiprināt mūsdienīgas nepastarpinātas interaktīvas digitālas kartes caur unikālu hipersaiti. Līdzīgi kā teritorijas plānojumiem - sk., piem., teritorijas plānojuma funkcionālā zonējuma karti, kura apstiprināta un ir pieejama valsts vienotajā ģeotelpiskās informācijas portālā www.geolatvija.lv, unikālais identifikators https://geolatvija.lv/geo/tapis#document_25700. Saistošajos noteikumos ietver hipersaiti ar unikālo identifikatoru uz valsts vienotajā ģeotelpiskās informācijas portālā (turpmāk — ģeoportāls) pieejamo apstiprinātā plānojuma interaktīvo grafisko daļu. Ģeoportālā pieejamā teritorijas plānojuma vai lokālplānojuma interaktīvā grafiskā daļa ir pašvaldības saistošo noteikumu neatņemama sastāvdaļa. Lūdzam izvērtēt šāda kompleksa risinājuma ieviešanas iespēju.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Atzīt par spēku zaudējušiem Ministru kabineta 2005. gada 22. novembra noteikumus Nr.888 "Noteikumi par aizsargājamām alejām" (Latvijas Vēstnesis, 2005, nr.196, 2006, nr.167, 2009, nr.98, 2019, nr.221 ).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publikāciju atsauces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Vēstnesis, 2005, 196.nr.; 2006, 167.nr.; 2009, 98.nr.; 2019, 221.nr.).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saistītos projektus sasaistīt ar TAP portālā pieejamo funkcionalitāti "Saistītie 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6. pants noteic, ka dabas pieminekļi ir atsevišķi, savrupi dabas veidojumi: aizsargājamie koki, dendroloģiskie stādījumi, </w:t>
            </w:r>
            <w:r w:rsidR="00000000" w:rsidRPr="00000000" w:rsidDel="00000000">
              <w:rPr>
                <w:b w:val="1"/>
                <w:u w:val="single"/>
                <w:rtl w:val="0"/>
              </w:rPr>
              <w:t xml:space="preserve">alejas</w:t>
            </w:r>
            <w:r w:rsidR="00000000" w:rsidRPr="00000000" w:rsidDel="00000000">
              <w:rPr>
                <w:rtl w:val="0"/>
              </w:rPr>
              <w:t xml:space="preserve">, ģeoloģiskie un ģeomorfoloģiskie dabas pieminekļi un citi dabas retumi, kam ir </w:t>
            </w:r>
            <w:r w:rsidR="00000000" w:rsidRPr="00000000" w:rsidDel="00000000">
              <w:rPr>
                <w:b w:val="1"/>
                <w:u w:val="single"/>
                <w:rtl w:val="0"/>
              </w:rPr>
              <w:t xml:space="preserve">zinātniska, kultūrvēsturiska, estētiska vai ekoloģiska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ka projekts veicinās arī minēto vērtību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apsvērt nepieciešamību šo projektu saskaņot ar Izglītības un zinātnes ministriju un Kultūras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22-TA-2749</w:t>
    </w:r>
    <w:r>
      <w:br/>
    </w:r>
    <w:r w:rsidR="00000000" w:rsidRPr="00000000" w:rsidDel="00000000">
      <w:rPr>
        <w:rtl w:val="0"/>
      </w:rPr>
      <w:t xml:space="preserve">Izdrukāts 23.12.2022. 10.07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22-TA-2749</w:t>
    </w:r>
    <w:r>
      <w:br/>
    </w:r>
    <w:r w:rsidR="00000000" w:rsidRPr="00000000" w:rsidDel="00000000">
      <w:rPr>
        <w:rtl w:val="0"/>
      </w:rPr>
      <w:t xml:space="preserve">Izdrukāts 23.12.2022. 10.07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Atzinumi_22-TA-2749.docx</dc:title>
</cp:coreProperties>
</file>

<file path=docProps/custom.xml><?xml version="1.0" encoding="utf-8"?>
<Properties xmlns="http://schemas.openxmlformats.org/officeDocument/2006/custom-properties" xmlns:vt="http://schemas.openxmlformats.org/officeDocument/2006/docPropsVTypes"/>
</file>