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(Elektroenerģijas patēriņa 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(Līgumi par plūdu seku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(Lokālās objektu tāmes)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ne vairāk kā 486 486 </w:t>
            </w:r>
            <w:r w:rsidR="00000000" w:rsidRPr="00000000" w:rsidDel="00000000">
              <w:rPr>
                <w:i w:val="1"/>
                <w:rtl w:val="0"/>
              </w:rPr>
              <w:t xml:space="preserve">euro</w:t>
            </w:r>
            <w:r w:rsidR="00000000" w:rsidRPr="00000000" w:rsidDel="00000000">
              <w:rPr>
                <w:rtl w:val="0"/>
              </w:rPr>
              <w:t xml:space="preserve"> apmērā samaksai par valsts meliorācijas sistēmu ārkārtas uzturēšanas darbiem plūdu izraisīto seku novēršanai ilgstošo lietavu un vētras skartajās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rīkojuma projekta izskatīšanai Ministru kabineta sēdē, ievērojot anotācijā norādīto Zemkopības ministrija apliecinājumu, ka anotācijas 2.pielikumā uzskaitītie valsts meliorācijas sistēmām radītie bojājumi radušies tieši no ilgstošām spēcīgām lietavām un vētrām laika periodā no 2025. gada maija  līdz 1. septembrim, kā arī nepieciešamību darbus pabeigt 2025.gada ietvaros. Vienlaikus lūdzam pirms rīkojuma projekta iesniegšanas izskatīšanai Ministru kabineta sēdē atkārtoti pārskatīt plānoto darbu tāmes, lai tajās būtu vienota pieeja koeficientu noteikšanā virsizdevumiem un peļņai (nosakot viszemāko iespējamo koeficientu), jo šobrīd koeficientu apmēri starp tāmēm joprojām atšķiras, kā arī vienlaikus nodrošināt, ka par līdzvērtīgu veicamo darbu ir noteikta, piemēram, vienāda stundas likme. Vēršam uzmanību, ka saskaņā ar Likumu par budžetu un finanšu vadību budžeta izpildītājam (šajā gadījumā Zemkopības ministrijai) ir jānodrošina valsts budžeta līdzekļu efektīvs un racionāls izlietojums atbilstoši paredzētajiem mērķiem un sasniedzamajiem rezultātiem, kā arī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2.punktu un attiecīgi piešķirtā finansējuma faktisko līdzekļu izmantošanas kontroli nodrošināt Zemkopības ministrijas ietvaros, ievērojot izteikto komentāru par nepieciešamību piemērotu vienotu pieeju un Likumā par budžetu un finanšu vadību noteikto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aprakstā norādīt izmaksu apmēru arī ar PVN, lai tas attiecīgi atbilstu rīkojuma projektā norādītajam. Līdzvērtīgu precizējumu lūdzam veikt arī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 lietai pievienotajos papildu dokumentos tālākai virzībai nepievienot dokumentus par darbiem, kuru izmaksas vairs nav iekļautas iesniegtajā rīkojuma projektā. Vienlaikus vēršam uzmanību, ka papildu dokumentos nav pievienots līgums Nr.2-3-2025-298 par objektu “Ikšķiles aizsargdambim kritņu aizbēršana,  kadastrs numurs 7494011031001, pik. 21/1, 24/9, Ikšķile, Ogres novads”.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2.pielikumā pie pasākuma “Elektroenerģijas pārtēriņš polderu sūkņu stacijās saistībā ar intensīvām lietavām maija un jūnija mēnešos” skaidrot, kāpēc aprēķina metodikā piemērota pieeja maija mēneša patēriņu salīdzināt ar vidējo patēriņu aprīļa, jūnija un jūlija mēnešos, tai skaitā skaidrojot, kāpēc salīdzinājums nav veikts ar attiecīgo mēnesi iepriekšējā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25-TA-2100</w:t>
    </w:r>
    <w:r>
      <w:br/>
    </w:r>
    <w:r w:rsidR="00000000" w:rsidRPr="00000000" w:rsidDel="00000000">
      <w:rPr>
        <w:rtl w:val="0"/>
      </w:rPr>
      <w:t xml:space="preserve">Izdrukāts 12.11.2025. 21.18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25-TA-2100</w:t>
    </w:r>
    <w:r>
      <w:br/>
    </w:r>
    <w:r w:rsidR="00000000" w:rsidRPr="00000000" w:rsidDel="00000000">
      <w:rPr>
        <w:rtl w:val="0"/>
      </w:rPr>
      <w:t xml:space="preserve">Izdrukāts 12.11.2025. 21.18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Atzinumi_25-TA-2100.docx</dc:title>
</cp:coreProperties>
</file>

<file path=docProps/custom.xml><?xml version="1.0" encoding="utf-8"?>
<Properties xmlns="http://schemas.openxmlformats.org/officeDocument/2006/custom-properties" xmlns:vt="http://schemas.openxmlformats.org/officeDocument/2006/docPropsVTypes"/>
</file>