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Ārējās sauszemes robežas šķērsošanas transportlīdzekļu elektroniskās rindas rezervācijas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Ja reģistrācijas veicējs ir pieļāvis kļūdu galvenajā atsauces numurā jeb MRN (angļu val.</w:t>
            </w:r>
            <w:r w:rsidR="00000000" w:rsidRPr="00000000" w:rsidDel="00000000">
              <w:rPr>
                <w:i w:val="1"/>
                <w:rtl w:val="0"/>
              </w:rPr>
              <w:t xml:space="preserve"> Movement Reference Number</w:t>
            </w:r>
            <w:r w:rsidR="00000000" w:rsidRPr="00000000" w:rsidDel="00000000">
              <w:rPr>
                <w:rtl w:val="0"/>
              </w:rPr>
              <w:t xml:space="preserve">), pierakstu ir tiesīga atcelt Valsts ieņēmumu dienesta Muitas pārvaldes amatpersona. Kļūdas novērtēšanas procesu amatpersona veic saskaņā ar attiecīgās iestādes apstiprinātajām iekšējām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redakcijā Ministru kabineta noteikumu projekta “Noteikumi par transportlīdzekļu reģistrāciju un rindas organizēšanu ārējās sauszemes robežas šķērsošanai” (turpmāk – Ministru kabineta noteikumu projekts) 14.2. apakšpunktā ir norādītas Valsts ieņēmumu dienesta Muitas pārvaldes amatpersonu tiesības atcelt elektroniskās rindas rezervāciju, ja ir pieļauta kļūda galvenajā atsauces numurā jeb MRN.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21.3.apakšpunkta e), f), g) apakšpunkti noteic, ka par transportlīdzekli un tā kravu, ja attiecināms, ir norādāms: kravas esība, norādot galveno atsauces numuru jeb MRN, vai kravas neesība; ātri bojājošās kravas gadījumā norādot preču pavaddokumentos minēto preču kombinētās nomenklatūras kodu; atbilstība Latvijas Republikas valsts robežas likuma 10. panta desmitās daļas 6.1 punktā minētajam nosacījumam iekļaušanai  prioritārajā rindā.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projektā nav paredzēts, ka Muitas pārvaldes amatpersonai vai kādai citai iestādei ir tiesības atcelt reģistrāciju rindā, ja tiek iesniegta nepatiesa informācija, piemēram, ka preces ietilpst ārpus kārtas transportējamo preču sarakstā vai, ka persona ir atzītā komersanta (AEO) sertifikāta turētājs. Tātad, ja reģistrācijas veicējs elektroniskajā rindas rezervācijas sistēmā norādīs nepatiesu informāciju par to, ka preces ietilpst ārpus kārtas transportējamo preču sarakstā, taču norādīs pareizu galveno atsauces numuru jeb MRN, tad pierakstu neatcels. Savukārt, ja reģistrācijas veicējs norādīs kļūdainu galveno atsauces numuru jeb MRN, kas pats par sevi ir formāla kļūda, tad VID Muitas pārvaldes amatpersona ir tiesīga atcelt pierakstu.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VID ieskatā Ministru kabineta noteikumu projekta 21.3.apakšpunkta e), f), g)  apakšpunktos ir skaidri norādīti nosacījumi, kuriem neizpildoties ir uzskatāms, ka ir norādīta nepatiesa informācija. Tādējādi nav nepieciešams izstrādāt iestādes iekšējās vadlīnijas, kuras atsevišķi būtu jāpublisko.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reģistrācijas veicējs ir norādījis nepatiesu informāciju par noteikumu 21.3.5., 21.3.6. un 21.3.7.apakšpunktā (patreiz tas ir projekta 21.3.apakšpunkta   e), f), g) apakšpunkts) norādāmajām ziņām, pierakstu ir tiesīga atcelt Valsts ieņēmumu dienesta Muitas pārvaldes amatpersona.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Laine Paspārne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Ja reģistrācijas veicējs ir pieļāvis kļūdu galvenajā atsauces numurā jeb MRN (angļu val.</w:t>
            </w:r>
            <w:r w:rsidR="00000000" w:rsidRPr="00000000" w:rsidDel="00000000">
              <w:rPr>
                <w:i w:val="1"/>
                <w:rtl w:val="0"/>
              </w:rPr>
              <w:t xml:space="preserve"> Movement Reference Number</w:t>
            </w:r>
            <w:r w:rsidR="00000000" w:rsidRPr="00000000" w:rsidDel="00000000">
              <w:rPr>
                <w:rtl w:val="0"/>
              </w:rPr>
              <w:t xml:space="preserve">), pierakstu ir tiesīga atcelt Valsts ieņēmumu dienesta Muitas pārvaldes amatpersona. Kļūdas novērtēšanas procesu amatpersona veic saskaņā ar attiecīgās iestādes apstiprinātajām iekšējām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juridiskai tehnikai, ja noteikumu punktā ir ietverts uzskaitījums, punktu var iedalīt apakšpunktos, tad uzskaitījuma vienību raksta atsevišķā punktā (sk. MK 2009.g.3.februāra noteikumu Nr.108 "Normatīvo aktu projektu sagatavošanas noteikumi"102.punktu.) Ņemot vērā, ka 14.1. un 14.2. apakšpunkts nav veidots kā 14.punkta uzskaitījums, lūdzam precizēt noteikumu projekta 14.1. un 14.2.apakšpunktus veidojot tos kā patstāvīgus punktus, precizējot noteikumu projekta turpmāku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Laine Paspārne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par transportlīdzekli un tā kravu,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reģistrācijas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valsts reģistrācijas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marka;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piekabes vai puspiekabes valsts reģistrācijas numurs,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kravas esība, norādot galveno atsauces numuru jeb MRN, vai kravas neesība;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ātri bojājošās kravas gadījumā norādot preču pavaddokumentos minēto preču kombinētās nomenklatūras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atbilstība </w:t>
            </w:r>
            <w:r w:rsidR="00000000" w:rsidRPr="00000000" w:rsidDel="00000000">
              <w:rPr>
                <w:rtl w:val="0"/>
              </w:rPr>
              <w:t xml:space="preserve">Latvijas Republikas valsts robežas likuma</w:t>
            </w:r>
            <w:r w:rsidR="00000000" w:rsidRPr="00000000" w:rsidDel="00000000">
              <w:rPr>
                <w:rtl w:val="0"/>
              </w:rPr>
              <w:t xml:space="preserve"> 10. panta desmitās daļas 6.</w:t>
            </w:r>
            <w:r w:rsidR="00000000" w:rsidRPr="00000000" w:rsidDel="00000000">
              <w:rPr>
                <w:vertAlign w:val="superscript"/>
                <w:rtl w:val="0"/>
              </w:rPr>
              <w:t xml:space="preserve">1</w:t>
            </w:r>
            <w:r w:rsidR="00000000" w:rsidRPr="00000000" w:rsidDel="00000000">
              <w:rPr>
                <w:rtl w:val="0"/>
              </w:rPr>
              <w:t xml:space="preserve"> punktā minētajam nosacījumam iekļaušanai  prioritārajā rindā.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2009.gada 3.februāra noteikumu Nr.108 "Normatīvo aktu projektu sagatavošanas noteikumi" 107. punktam noteikumu projekta vienības apzīmē (numurē): </w:t>
            </w:r>
            <w:r w:rsidR="00000000" w:rsidRPr="00000000" w:rsidDel="00000000">
              <w:rPr>
                <w:rtl w:val="0"/>
              </w:rPr>
              <w:t xml:space="preserve">107.1.nodaļas:</w:t>
            </w:r>
            <w:r w:rsidR="00000000" w:rsidRPr="00000000" w:rsidDel="00000000">
              <w:rPr>
                <w:rtl w:val="0"/>
              </w:rPr>
              <w:t xml:space="preserve">
</w:t>
            </w:r>
            <w:r w:rsidR="00000000" w:rsidRPr="00000000" w:rsidDel="00000000">
              <w:rPr>
                <w:rtl w:val="0"/>
              </w:rPr>
              <w:t xml:space="preserve">107.1.1.ar romiešu cipariem, liekot aiz tiem punktu;</w:t>
            </w:r>
            <w:r w:rsidR="00000000" w:rsidRPr="00000000" w:rsidDel="00000000">
              <w:rPr>
                <w:rtl w:val="0"/>
              </w:rPr>
              <w:t xml:space="preserve">
</w:t>
            </w:r>
            <w:r w:rsidR="00000000" w:rsidRPr="00000000" w:rsidDel="00000000">
              <w:rPr>
                <w:rtl w:val="0"/>
              </w:rPr>
              <w:t xml:space="preserve">107.1.2.ar arābu cipariem, liekot aiz tiem punktu, ja noteikumu projektam, ir apakšnodaļas;</w:t>
            </w:r>
            <w:r w:rsidR="00000000" w:rsidRPr="00000000" w:rsidDel="00000000">
              <w:rPr>
                <w:rtl w:val="0"/>
              </w:rPr>
              <w:t xml:space="preserve">
</w:t>
            </w:r>
            <w:r w:rsidR="00000000" w:rsidRPr="00000000" w:rsidDel="00000000">
              <w:rPr>
                <w:rtl w:val="0"/>
              </w:rPr>
              <w:t xml:space="preserve">107.2. apakšnodaļas, punktus un apakšpunktus- ar arābu cipariem, liekot aiz tiem punktu.</w:t>
            </w:r>
            <w:r w:rsidR="00000000" w:rsidRPr="00000000" w:rsidDel="00000000">
              <w:rPr>
                <w:rtl w:val="0"/>
              </w:rPr>
              <w:t xml:space="preserve">
</w:t>
            </w:r>
            <w:r w:rsidR="00000000" w:rsidRPr="00000000" w:rsidDel="00000000">
              <w:rPr>
                <w:rtl w:val="0"/>
              </w:rPr>
              <w:t xml:space="preserve">Lūdzam precizēt noteikumu projekta 21.punktu un tā apakšpunktus ar arābu cipariem, liekot aiz tiem punktu, nevis lietojot mazos latīņu alfabēta burtus, liekot aiz tiem iekavu.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Laine Paspārne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rindkopu, kurā sniegta informācija, ka, ņemot vērā ATD veiktos aprēķinus, secināts, ka visus nepieciešamos līdzekļus ir iespējams segt no iekasētās maksas par e-pakalpojumu, vienlaikus saglabājot samērīgu pakalpojuma maksas apmēru - maksa par pakalpojumu viena transportlīdzekļa reģistrēšanu elektroniskajā rindas rezervācijas sistēmā ir paredzēta 9,30 euro, papildināt ar informāciju ar gadā plānoto pakalpojuma apmēru un attiecīgi plānoto ieņēmumu apmēru, kas attiecīgi apliecinātu spēju nosegt nepieciešamās uzturēšanas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24-TA-3321</w:t>
    </w:r>
    <w:r>
      <w:br/>
    </w:r>
    <w:r w:rsidR="00000000" w:rsidRPr="00000000" w:rsidDel="00000000">
      <w:rPr>
        <w:rtl w:val="0"/>
      </w:rPr>
      <w:t xml:space="preserve">Izdrukāts 11.09.2025.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24-TA-3321</w:t>
    </w:r>
    <w:r>
      <w:br/>
    </w:r>
    <w:r w:rsidR="00000000" w:rsidRPr="00000000" w:rsidDel="00000000">
      <w:rPr>
        <w:rtl w:val="0"/>
      </w:rPr>
      <w:t xml:space="preserve">Izdrukāts 11.09.2025.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Atzinumi_24-TA-3321.docx</dc:title>
</cp:coreProperties>
</file>

<file path=docProps/custom.xml><?xml version="1.0" encoding="utf-8"?>
<Properties xmlns="http://schemas.openxmlformats.org/officeDocument/2006/custom-properties" xmlns:vt="http://schemas.openxmlformats.org/officeDocument/2006/docPropsVTypes"/>
</file>