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22-TA-2792: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Investīcijas otrās kārtas projektu īsteno līdz 2026. gada 30. jūnijam.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uztur spēkā 17.04.2023. izziņas 154.punktā norādīto iebildumu par projektu īstenošanas termiņa saīsinājumu un lūdz saīsināt Ministru kabineta noteikumu 59.punktā noteikto projektu īstenošanas termiņu no 2026.gada 30.jūnija uz 2026.gada 31.maiju. Skaidrojam, ka tādejādi tiek paredzēti samērīgi termiņi noslēguma dokumentācijas sagatavošanai un izvērtēšanai visām iesaistītajām pusēm, lai līdz 2026.gada 31.augustam tiktu nodrošinātas nepieciešamās darbības, kas noteiktas noteikumu 60.punktā.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Rasa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 Investīcijas otrās kārtas ietvaros tiek īstenoti ar saimniecisku darbību nesaistīti sadarbības projekti, kuru darbības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 izteikto iebildumu saistībā ar Komisijas paziņojumā Pētniecībai, izstrādei un inovācijai piešķiramā valsts atbalsta nostādnes (2022/C 414/01) 20 (a) punktā minētajiem saimniecisko darbību izslēdzošajiem kritērijiem </w:t>
            </w:r>
            <w:r w:rsidR="00000000" w:rsidRPr="00000000" w:rsidDel="00000000">
              <w:rPr>
                <w:b w:val="1"/>
                <w:rtl w:val="0"/>
              </w:rPr>
              <w:t xml:space="preserve">pētniecības organizāciju un pētniecības infrastruktūru pamatdarbībā</w:t>
            </w:r>
            <w:r w:rsidR="00000000" w:rsidRPr="00000000" w:rsidDel="00000000">
              <w:rPr>
                <w:rtl w:val="0"/>
              </w:rPr>
              <w:t xml:space="preserve">, jo šobrīd noteikumi runā par </w:t>
            </w:r>
            <w:r w:rsidR="00000000" w:rsidRPr="00000000" w:rsidDel="00000000">
              <w:rPr>
                <w:b w:val="1"/>
                <w:rtl w:val="0"/>
              </w:rPr>
              <w:t xml:space="preserve">augstākās izglītības institūcijas pamatdarbību</w:t>
            </w:r>
            <w:r w:rsidR="00000000" w:rsidRPr="00000000" w:rsidDel="00000000">
              <w:rPr>
                <w:rtl w:val="0"/>
              </w:rPr>
              <w:t xml:space="preserve">, kā arī anotācijā skaidrots, ka šīs darbības nav nodalāmas.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Izglītības un zinātnes ministrijas (IZM) 2021.gada decembra skaidrojumu un Eiropas Komisijas 2022.gada atbildi (nosūtīta IZM ar 09.12.2022. Finanšu ministrijas vēstuli Nr.7-4/18/3645) attiecībā uz Latvijas augstskolu darbību un pētniecības organizāciju statusu un to nošķiršanu, t.sk. ES Tiesas spriedumu apvienotajās lietās C‑164/21 un C‑318/21 SIA “Baltijas Starptautiskā akadēmija” , SIA “Stockholm School of Economics in Riga” pret Latvijas Zinātnes padomi, un precizēt noteikumus tā, lai skaidrs, kuras ir finansējuma saņēmēja augstākās izglītības institūcijas izglītības darbības un kuras ir finansējuma saņēmēja darbības kā pētniecības organizācijai. Vienlaikus lūdzam precizēt anotācijā iekļauto skaidrojumu par šo darbību nodalīšanu saistībā ar tiesas spriedumā pausto un noteikumos plānoto.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66.1. investīcijas otrās kārtas projekta darbībām augstākās izglītības institūcijas pamatdarbības jomā nav saimnieciska rakstura,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noteikumu projekta 66.1. apakšpunktu kopsakarā ar tā apakšpunktos noteiktajiem nosacījumiem, ņemot vērā to, ka, pirmkārt, tie neatbilst noteikumu projekta 66.1. apakšpunkta "galviņā" noteiktajam, otrkārt, nenodrošina korektu saimnieciskās darbības neesamības nosacījumu pielietošanu un attiecīgi arī atbilstību komercdarbības atbalsta kontroles regulējuma prasībām, jo, lai uzskatītu, ka īstenojamais projekts nav saistīts ar saimniecisku darbību, šī projekta ietvaros atbalstītai infrastruktūrai ir jākalpo nesaimnieciskajiem mērķim un vienīgā saimnieciskā darbība, kas ir pieļaujama atbalstītajā infrastruktūrā, lai tā saglabātu nesaimniecisko raksturu, ir papildinošā saimnieciskā darbība un parasto papildpakalpojumu sniegšana.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Jurijs Jenuševskis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66.2.1. tiek īstenota neatkarīga pētniecība un izstrāde ar mērķi gūt vairāk zināšanu un labāku izpratni, tostarp īstenota kopīga pētniecība un izstrāde, kad pētniecības organizācija vai pētniecības infrastruktūra iesaistās efektīvā sadarbībā. Pētniecības un izstrādes pakalpojumu sniegšana un pētniecība un izstrāde, ko veic uzņēmumu uzdevumā, netiek uzskatīta par neatkarīgu pētniecību un izstrādi;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iebildumu ar lūgumu precizēt šī punkta redakciju atbilstoši Komisijas paziņojuma Pētniecībai, izstrādei un inovācijai piešķiramā valsts atbalsta nostādnes (2022/C 414/01) 20 (a) (ii) apakšpunktam, proti, lietojot to pašu terminoloģiju, kas pamatnostādnēs, viennozīmīgai normu interpretācijai. Vienlaikus lūdzam precizēt terminoloģiju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66.2.4. tiek īstenoti izglītības pasākumi, lai panāktu personāla skaita pieaugumu un kvalifikācijas paaugstināšanu. Publiskā izglītība, kas tiek nodrošināta valsts izglītības sistēmas ietvaros un kas galvenokārt vai pilnībā ir valsts finansēta un uzraudzīta, tiek uzskatīta par darbību, kas nav saimnieciska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šis punkts dublē normu no noteikumu projekta 66.1.1.punkta. Attiecīgi lūdzam dzēst vienu no 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66.3. pētniecības darbības tiek veiktas efektīvā sadarbībā, ja efektīva sadarbība atbilst Komisijas regulas Nr. 651/2014 2. panta 90. punktā noteiktajai definīcijai un ja investīcijas otrās kārtas projekts paredz sadarbību ar vairākām neatkarīgām pusēm.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iebildumu pie šo noteikumu 66.2.1.punkta un precizēt arī šo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Finansējuma saņēmēji un to sadarbības partneri investīcijas otrās kārtas projekta īstenošanas laikā un piecus gadus pēc pēdējā maksājuma dalībvalstij, jeb līdz 2031. gada beigām, veikšanas nodrošina visu ar investīcijas otrās kārtas projekta īstenošanu saistīto dokumentu glabāšanu, tai skaitā investīcijas otrās kārtas projekta iesnieguma, jebkuru ar investīcijas otrās kārtas projektu saistīto sarakstes dokumentu, iepirkuma dokumentācijas, investīcijas otrās kārtas projekta noslēgto līgumu, veikto darbu, piegāžu un sniegto pakalpojumu apliecinošu dokumentu, veikto maksājumu apliecinošo dokumentu oriģinālu vai to atvasinājumu ar juridisko spēku glabāšanu.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atzinumā minēto iebildumu, ka, ņemot vērā šo noteikumu projekta 66.1.2. un 66.1.3.punktā minēto termiņu, kurā ir jānodrošina komercdarbības atbalsta izslēdzošo nosacījumu uzraudzība, proti, infrastruktūras amortizācijas periodā, ja atbalsts tiek sniegts investīcijām infrastruktūrā, lūdzam precizēt šajā punktā minēto dokumentu glabāšanas termiņu attiecībā uz tiem gadījumiem, kad ir jānodrošina uzraudzība visā amortizācijas termiņā.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Kreicberga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aprēķināts nepieciešamais finansējums pievienotās vērtības nodokļa izmaksu segšanai. Papildus vēršam uzmanību, ka ne anotācijā, ne izziņā nav sniegts pamatojums nepieciešamajam finansējumam šim mērķim 5 684 461 euro apmērā, bet izziņā ir sniegts skaidrojums par finansējumu tikai 4 793 480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par MKN projektu vēl nav saņemts EK saskaņojums. Pastāv iespēja, ka tiks saņemti EK komentāri, kuri var mainīt MKN projekta redakciju, tāpēc aicinām sagaidīt EK komentārus vai saskaņojumu. Ja tomēr MK noteikumi tiks skatīti MK pirms EK viedokļa saņemšanas, lūdzam papildināt anotāciju, ka pēc EK komentāriem iespējama MKN projekta atkārtota virzība uz MK, ja nepieciešams.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Eiropas Savienības Atveseļošanas un noturības mehānisma (turpmāk – Atveseļošanas fonds)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(turpmāk – investīcijas otrā kārta) īstenošanas un uzraudzības kārtību, tostarp nosaka: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MKN projekta 1.punktā precizēt vārdus "Eiropas Savienības" uz "Latvijas".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Investīcijas otrās kārtas mērķus sasniedz, finansējuma saņēmējiem īstenojot šo noteikumu </w:t>
            </w:r>
            <w:r w:rsidR="00000000" w:rsidRPr="00000000" w:rsidDel="00000000">
              <w:rPr>
                <w:rtl w:val="0"/>
              </w:rPr>
              <w:t xml:space="preserve">19.</w:t>
            </w:r>
            <w:r w:rsidR="00000000" w:rsidRPr="00000000" w:rsidDel="00000000">
              <w:rPr>
                <w:rtl w:val="0"/>
              </w:rPr>
              <w:t xml:space="preserve"> punktā minētās atbalstāmās darbības un sasniedzot šādus rādītājus: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apliecināt, ka izmaiņas AF finansējuma sadalījumā starp 5.2.1.1.i. investīcijas 2. un 3.kārtu neietekmē 3.kārtas ietvaros atlikušo CID rādītāju Nr.164 un Nr.165 vērtību sasniegšanu.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Naudiņa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Finansējuma saņēmējs nodrošina, ka, izvērtējot šo noteikumu </w:t>
            </w:r>
            <w:r w:rsidR="00000000" w:rsidRPr="00000000" w:rsidDel="00000000">
              <w:rPr>
                <w:rtl w:val="0"/>
              </w:rPr>
              <w:t xml:space="preserve">19.2.2.</w:t>
            </w:r>
            <w:r w:rsidR="00000000" w:rsidRPr="00000000" w:rsidDel="00000000">
              <w:rPr>
                <w:rtl w:val="0"/>
              </w:rPr>
              <w:t xml:space="preserve">, </w:t>
            </w:r>
            <w:r w:rsidR="00000000" w:rsidRPr="00000000" w:rsidDel="00000000">
              <w:rPr>
                <w:rtl w:val="0"/>
              </w:rPr>
              <w:t xml:space="preserve">19.2.3.</w:t>
            </w:r>
            <w:r w:rsidR="00000000" w:rsidRPr="00000000" w:rsidDel="00000000">
              <w:rPr>
                <w:rtl w:val="0"/>
              </w:rPr>
              <w:t xml:space="preserve"> un </w:t>
            </w:r>
            <w:r w:rsidR="00000000" w:rsidRPr="00000000" w:rsidDel="00000000">
              <w:rPr>
                <w:rtl w:val="0"/>
              </w:rPr>
              <w:t xml:space="preserve">19.3. </w:t>
            </w:r>
            <w:r w:rsidR="00000000" w:rsidRPr="00000000" w:rsidDel="00000000">
              <w:rPr>
                <w:rtl w:val="0"/>
              </w:rPr>
              <w:t xml:space="preserve">apakšpunktā</w:t>
            </w:r>
            <w:r w:rsidR="00000000" w:rsidRPr="00000000" w:rsidDel="00000000">
              <w:rPr>
                <w:rtl w:val="0"/>
              </w:rPr>
              <w:t xml:space="preserve"> minēto granta pieteikumu un to noslēguma zinātnisko pārskatus, tiek izstrādāta kārtība, kādā pieteikuma izvērtēšanas procesā tiks nodrošināta konfidenciālitātes prasību ievērošana un interešu konflikta prasību ievērošana, identificēti apstākļi, kuri izraisa vai var izraisīt interešu konfliktu, kas rada apdraudējumu vai kaitējumu projektu īstenošanai, noteikti veicamie pasākumi un izstrādāti darbības plāni interešu konflikta preventīvai novēršanai un gadījumiem, kad interešu konflikts ir atklāts, kā arī, īstenojot projektu, paraksta apliecinājumu par interešu konflikta neesamību. Finansējuma saņēmējs pārliecinās, ka ārvalstu eksperts ir iepazinies ar attiecīgo kārtību un parakstījis apliecinājumu par interešu konflikta neesamību.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apliecinājumā par interešu konflikta neesamību jāietver atsauce uz Eiropas Parlamenta un Padomes 2018.gada 18.jūlija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 Aģentūra, pamatojoties uz finansējuma saņēmēja rakstisku pieprasījumu un avansa maksājuma apmēra pamatojumu, kas balstīts uz sasniedzamo rādītāju īstenošanas progresu atbilstoši plānotajam finansējuma izlietojumam, var piešķirt avansu finansējuma saņēmējam. Kopējais avansa apmērs nepārsniedz 30 procentus no kopējā investīcijas otrās kārtas projekta īstenošanai paredzētā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nepieciešamības gadījumā papildināt noteikumu projektu ar nosacījumu, ka, ja tiek paredzēti vairāki avansa maksājumi - nākamo avansu var saņemt pēc tam, kad iepriekšējais ir apgūts pilnā apmērā.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norādīto informāciju 3.sadaļā "Tiesību akta projekta ietekme uz valsts budžetu un pašvaldību budžetiem" pie "Cita informācija", ņemot vērā, ka likums "Par valsts budžetu 2023. gadam un budžeta ietvaru 2023., 2024. un 2025. gadam" jau ir pieņemts.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Barkovska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13.39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22-TA-2792</w:t>
    </w:r>
    <w:r>
      <w:br/>
    </w:r>
    <w:r w:rsidR="00000000" w:rsidRPr="00000000" w:rsidDel="00000000">
      <w:rPr>
        <w:rtl w:val="0"/>
      </w:rPr>
      <w:t xml:space="preserve">Izdrukāts 26.06.2023. 13.39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Atzinumi_22-TA-2792.docx</dc:title>
</cp:coreProperties>
</file>

<file path=docProps/custom.xml><?xml version="1.0" encoding="utf-8"?>
<Properties xmlns="http://schemas.openxmlformats.org/officeDocument/2006/custom-properties" xmlns:vt="http://schemas.openxmlformats.org/officeDocument/2006/docPropsVTypes"/>
</file>